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7BDC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BC947BB">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B0336CA">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13</w:t>
            </w:r>
            <w:r>
              <w:rPr>
                <w:rFonts w:ascii="黑体" w:hAnsi="黑体" w:eastAsia="黑体"/>
                <w:sz w:val="21"/>
                <w:szCs w:val="21"/>
              </w:rPr>
              <w:t>.020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8443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C5DEDE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BE8556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F</w:t>
            </w:r>
            <w:r>
              <w:rPr>
                <w:rFonts w:ascii="黑体" w:hAnsi="黑体" w:eastAsia="黑体"/>
                <w:sz w:val="21"/>
                <w:szCs w:val="21"/>
              </w:rPr>
              <w:t xml:space="preserve"> </w:t>
            </w:r>
            <w:r>
              <w:rPr>
                <w:rFonts w:hint="eastAsia" w:ascii="黑体" w:hAnsi="黑体" w:eastAsia="黑体"/>
                <w:sz w:val="21"/>
                <w:szCs w:val="21"/>
              </w:rPr>
              <w:t>01</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40665A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F51F4AF">
            <w:pPr>
              <w:pStyle w:val="49"/>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148DDBCE">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江苏省</w:t>
      </w:r>
      <w:r>
        <w:rPr>
          <w:rFonts w:hint="eastAsia" w:ascii="黑体" w:hAnsi="黑体" w:eastAsia="黑体"/>
          <w:b w:val="0"/>
          <w:bCs w:val="0"/>
          <w:w w:val="100"/>
          <w:sz w:val="48"/>
          <w:szCs w:val="48"/>
        </w:rPr>
        <w:t>地方标准</w:t>
      </w:r>
    </w:p>
    <w:bookmarkEnd w:id="1"/>
    <w:p w14:paraId="3095952B">
      <w:pPr>
        <w:pStyle w:val="195"/>
        <w:frame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32/T</w:t>
      </w:r>
      <w:r>
        <w:fldChar w:fldCharType="end"/>
      </w:r>
      <w:bookmarkEnd w:id="3"/>
      <w:r>
        <w:rPr>
          <w:lang w:val="fr-FR"/>
        </w:rPr>
        <w:t xml:space="preserve"> </w:t>
      </w:r>
      <w:r>
        <w:rPr>
          <w:rFonts w:hint="eastAsia"/>
        </w:rPr>
        <w:t>XXXX</w:t>
      </w:r>
      <w:r>
        <w:rPr>
          <w:rFonts w:hAnsi="黑体"/>
          <w:lang w:val="fr-FR"/>
        </w:rPr>
        <w:t>—</w:t>
      </w:r>
      <w:r>
        <w:rPr>
          <w:rFonts w:hint="eastAsia"/>
        </w:rPr>
        <w:t>XXXX</w:t>
      </w:r>
    </w:p>
    <w:p w14:paraId="31514DB7">
      <w:pPr>
        <w:pStyle w:val="196"/>
        <w:framePr/>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0C08DD3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E4111AF">
      <w:pPr>
        <w:pStyle w:val="50"/>
        <w:framePr w:w="9639" w:h="6976" w:hRule="exact" w:hSpace="0" w:vSpace="0" w:wrap="around" w:hAnchor="page" w:y="6408"/>
        <w:jc w:val="center"/>
        <w:rPr>
          <w:rFonts w:ascii="黑体" w:hAnsi="黑体" w:eastAsia="黑体"/>
          <w:b w:val="0"/>
          <w:bCs w:val="0"/>
          <w:w w:val="100"/>
        </w:rPr>
      </w:pPr>
    </w:p>
    <w:p w14:paraId="3B2FC9B5">
      <w:pPr>
        <w:pStyle w:val="197"/>
        <w:framePr w:h="6974" w:hRule="exact" w:wrap="around" w:x="1419" w:anchorLock="1"/>
      </w:pPr>
      <w:r>
        <w:rPr>
          <w:rFonts w:hint="eastAsia"/>
        </w:rPr>
        <w:t>公共机构绿色办公区管理规范</w:t>
      </w:r>
    </w:p>
    <w:p w14:paraId="186CF22A">
      <w:pPr>
        <w:framePr w:w="9639" w:h="6974" w:hRule="exact" w:wrap="around" w:vAnchor="page" w:hAnchor="page" w:x="1419" w:y="6408" w:anchorLock="1"/>
        <w:ind w:left="-1418"/>
      </w:pPr>
    </w:p>
    <w:p w14:paraId="317886AB">
      <w:pPr>
        <w:pStyle w:val="125"/>
        <w:framePr w:w="9639" w:h="6974" w:hRule="exact" w:wrap="around" w:vAnchor="page" w:hAnchor="page" w:x="1419" w:y="6408" w:anchorLock="1"/>
        <w:textAlignment w:val="bottom"/>
        <w:rPr>
          <w:rFonts w:eastAsia="黑体"/>
          <w:szCs w:val="28"/>
        </w:rPr>
      </w:pPr>
      <w:r>
        <w:t>Standardization</w:t>
      </w:r>
      <w:r>
        <w:rPr>
          <w:rFonts w:hint="eastAsia"/>
        </w:rPr>
        <w:t xml:space="preserve"> of </w:t>
      </w:r>
      <w:r>
        <w:t>green office </w:t>
      </w:r>
      <w:r>
        <w:rPr>
          <w:rFonts w:hint="eastAsia"/>
        </w:rPr>
        <w:t xml:space="preserve">for </w:t>
      </w:r>
      <w:r>
        <w:t>public institutions</w:t>
      </w:r>
    </w:p>
    <w:p w14:paraId="28E02949">
      <w:pPr>
        <w:framePr w:w="9639" w:h="6974" w:hRule="exact" w:wrap="around" w:vAnchor="page" w:hAnchor="page" w:x="1419" w:y="6408" w:anchorLock="1"/>
        <w:spacing w:line="760" w:lineRule="exact"/>
        <w:ind w:left="-1418"/>
      </w:pPr>
    </w:p>
    <w:p w14:paraId="67B2E45B">
      <w:pPr>
        <w:pStyle w:val="125"/>
        <w:framePr w:w="9639" w:h="6974" w:hRule="exact" w:wrap="around" w:vAnchor="page" w:hAnchor="page" w:x="1419" w:y="6408" w:anchorLock="1"/>
        <w:textAlignment w:val="bottom"/>
        <w:rPr>
          <w:rFonts w:eastAsia="黑体"/>
          <w:szCs w:val="28"/>
        </w:rPr>
      </w:pPr>
    </w:p>
    <w:p w14:paraId="315FA4D0">
      <w:pPr>
        <w:pStyle w:val="125"/>
        <w:framePr w:w="9639" w:h="6974" w:hRule="exact" w:wrap="around" w:vAnchor="page" w:hAnchor="page" w:x="1419" w:y="6408" w:anchorLock="1"/>
        <w:spacing w:before="440" w:after="160"/>
        <w:textAlignment w:val="bottom"/>
        <w:rPr>
          <w:sz w:val="24"/>
          <w:szCs w:val="28"/>
        </w:rPr>
      </w:pPr>
      <w:r>
        <w:rPr>
          <w:rFonts w:hint="eastAsia"/>
          <w:sz w:val="24"/>
          <w:szCs w:val="28"/>
        </w:rPr>
        <w:t>（送审稿）</w:t>
      </w:r>
      <w:bookmarkStart w:id="5" w:name="下拉1"/>
      <w:r>
        <w:rPr>
          <w:rFonts w:hint="eastAsia"/>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hint="eastAsia"/>
          <w:sz w:val="24"/>
          <w:szCs w:val="28"/>
        </w:rPr>
        <w:instrText xml:space="preserve">FORMDROPDOWN</w:instrText>
      </w:r>
      <w:r>
        <w:rPr>
          <w:sz w:val="24"/>
          <w:szCs w:val="28"/>
        </w:rPr>
        <w:fldChar w:fldCharType="separate"/>
      </w:r>
      <w:r>
        <w:rPr>
          <w:rFonts w:hint="eastAsia"/>
          <w:sz w:val="24"/>
          <w:szCs w:val="28"/>
        </w:rPr>
        <w:fldChar w:fldCharType="end"/>
      </w:r>
      <w:bookmarkEnd w:id="5"/>
    </w:p>
    <w:p w14:paraId="3D2B343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14:paraId="165ECEE4">
      <w:pPr>
        <w:pStyle w:val="193"/>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发布</w:t>
      </w:r>
    </w:p>
    <w:p w14:paraId="1B48F093">
      <w:pPr>
        <w:pStyle w:val="194"/>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实施</w:t>
      </w:r>
    </w:p>
    <w:p w14:paraId="192483A5">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市场监督管理局</w:t>
      </w:r>
      <w:r>
        <w:rPr>
          <w:rFonts w:hAnsi="黑体"/>
          <w:w w:val="100"/>
          <w:sz w:val="28"/>
        </w:rPr>
        <w:fldChar w:fldCharType="end"/>
      </w:r>
      <w:bookmarkEnd w:id="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19B1C08">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9D5E33C">
      <w:pPr>
        <w:pStyle w:val="230"/>
      </w:pPr>
      <w:bookmarkStart w:id="8" w:name="_Toc20599"/>
      <w:bookmarkStart w:id="9" w:name="_Toc32451"/>
      <w:bookmarkStart w:id="10" w:name="_Toc7979"/>
      <w:bookmarkStart w:id="11" w:name="_Toc29720"/>
      <w:bookmarkStart w:id="12" w:name="_Toc9966"/>
      <w:bookmarkStart w:id="13" w:name="BookMark2"/>
      <w:r>
        <w:rPr>
          <w:rFonts w:hint="eastAsia"/>
        </w:rPr>
        <w:t>目</w:t>
      </w:r>
      <w:bookmarkStart w:id="14" w:name="BKML"/>
      <w:r>
        <w:rPr>
          <w:rFonts w:hAnsi="黑体"/>
        </w:rPr>
        <w:t>  </w:t>
      </w:r>
      <w:bookmarkEnd w:id="8"/>
      <w:bookmarkEnd w:id="9"/>
      <w:bookmarkEnd w:id="14"/>
      <w:r>
        <w:rPr>
          <w:rFonts w:hint="eastAsia"/>
        </w:rPr>
        <w:t>次</w:t>
      </w:r>
      <w:bookmarkEnd w:id="10"/>
      <w:bookmarkEnd w:id="11"/>
      <w:bookmarkEnd w:id="12"/>
    </w:p>
    <w:p w14:paraId="1CC846B0">
      <w:pPr>
        <w:pStyle w:val="19"/>
        <w:tabs>
          <w:tab w:val="right" w:leader="dot" w:pos="9354"/>
        </w:tabs>
      </w:pPr>
      <w:r>
        <w:rPr>
          <w:rFonts w:hint="eastAsia"/>
        </w:rPr>
        <w:fldChar w:fldCharType="begin"/>
      </w:r>
      <w:r>
        <w:rPr>
          <w:rFonts w:hint="eastAsia"/>
        </w:rPr>
        <w:instrText xml:space="preserve">TOC \o "1-2" \h \u </w:instrText>
      </w:r>
      <w:r>
        <w:rPr>
          <w:rFonts w:hint="eastAsia"/>
        </w:rPr>
        <w:fldChar w:fldCharType="separate"/>
      </w:r>
      <w:r>
        <w:fldChar w:fldCharType="begin"/>
      </w:r>
      <w:r>
        <w:instrText xml:space="preserve"> HYPERLINK \l "_Toc4028" </w:instrText>
      </w:r>
      <w:r>
        <w:fldChar w:fldCharType="separate"/>
      </w:r>
      <w:r>
        <w:rPr>
          <w:rFonts w:hint="eastAsia"/>
        </w:rPr>
        <w:t>前</w:t>
      </w:r>
      <w:r>
        <w:t>言</w:t>
      </w:r>
      <w:r>
        <w:tab/>
      </w:r>
      <w:r>
        <w:fldChar w:fldCharType="begin"/>
      </w:r>
      <w:r>
        <w:instrText xml:space="preserve"> PAGEREF _Toc4028 \h </w:instrText>
      </w:r>
      <w:r>
        <w:fldChar w:fldCharType="separate"/>
      </w:r>
      <w:r>
        <w:t>II</w:t>
      </w:r>
      <w:r>
        <w:fldChar w:fldCharType="end"/>
      </w:r>
      <w:r>
        <w:fldChar w:fldCharType="end"/>
      </w:r>
    </w:p>
    <w:p w14:paraId="7881FF4B">
      <w:pPr>
        <w:pStyle w:val="19"/>
        <w:tabs>
          <w:tab w:val="right" w:leader="dot" w:pos="9354"/>
        </w:tabs>
      </w:pPr>
      <w:r>
        <w:fldChar w:fldCharType="begin"/>
      </w:r>
      <w:r>
        <w:instrText xml:space="preserve"> HYPERLINK \l "_Toc13882" </w:instrText>
      </w:r>
      <w:r>
        <w:fldChar w:fldCharType="separate"/>
      </w:r>
      <w:r>
        <w:rPr>
          <w:rFonts w:hint="eastAsia"/>
        </w:rPr>
        <w:t>1 范围</w:t>
      </w:r>
      <w:r>
        <w:rPr>
          <w:rFonts w:hint="eastAsia"/>
        </w:rPr>
        <w:tab/>
      </w:r>
      <w:r>
        <w:rPr>
          <w:rFonts w:hint="eastAsia"/>
        </w:rPr>
        <w:fldChar w:fldCharType="begin"/>
      </w:r>
      <w:r>
        <w:rPr>
          <w:rFonts w:hint="eastAsia"/>
        </w:rPr>
        <w:instrText xml:space="preserve"> PAGEREF _Toc13882 \h </w:instrText>
      </w:r>
      <w:r>
        <w:rPr>
          <w:rFonts w:hint="eastAsia"/>
        </w:rPr>
        <w:fldChar w:fldCharType="separate"/>
      </w:r>
      <w:r>
        <w:rPr>
          <w:rFonts w:hint="eastAsia"/>
        </w:rPr>
        <w:t>1</w:t>
      </w:r>
      <w:r>
        <w:rPr>
          <w:rFonts w:hint="eastAsia"/>
        </w:rPr>
        <w:fldChar w:fldCharType="end"/>
      </w:r>
      <w:r>
        <w:rPr>
          <w:rFonts w:hint="eastAsia"/>
        </w:rPr>
        <w:fldChar w:fldCharType="end"/>
      </w:r>
    </w:p>
    <w:p w14:paraId="155B2DF6">
      <w:pPr>
        <w:pStyle w:val="19"/>
        <w:tabs>
          <w:tab w:val="right" w:leader="dot" w:pos="9354"/>
        </w:tabs>
      </w:pPr>
      <w:r>
        <w:fldChar w:fldCharType="begin"/>
      </w:r>
      <w:r>
        <w:instrText xml:space="preserve"> HYPERLINK \l "_Toc3617" </w:instrText>
      </w:r>
      <w:r>
        <w:fldChar w:fldCharType="separate"/>
      </w:r>
      <w:r>
        <w:rPr>
          <w:rFonts w:hint="eastAsia"/>
        </w:rPr>
        <w:t>2 规范性引用文件</w:t>
      </w:r>
      <w:r>
        <w:rPr>
          <w:rFonts w:hint="eastAsia"/>
        </w:rPr>
        <w:tab/>
      </w:r>
      <w:r>
        <w:rPr>
          <w:rFonts w:hint="eastAsia"/>
        </w:rPr>
        <w:fldChar w:fldCharType="begin"/>
      </w:r>
      <w:r>
        <w:rPr>
          <w:rFonts w:hint="eastAsia"/>
        </w:rPr>
        <w:instrText xml:space="preserve"> PAGEREF _Toc3617 \h </w:instrText>
      </w:r>
      <w:r>
        <w:rPr>
          <w:rFonts w:hint="eastAsia"/>
        </w:rPr>
        <w:fldChar w:fldCharType="separate"/>
      </w:r>
      <w:r>
        <w:rPr>
          <w:rFonts w:hint="eastAsia"/>
        </w:rPr>
        <w:t>1</w:t>
      </w:r>
      <w:r>
        <w:rPr>
          <w:rFonts w:hint="eastAsia"/>
        </w:rPr>
        <w:fldChar w:fldCharType="end"/>
      </w:r>
      <w:r>
        <w:rPr>
          <w:rFonts w:hint="eastAsia"/>
        </w:rPr>
        <w:fldChar w:fldCharType="end"/>
      </w:r>
    </w:p>
    <w:p w14:paraId="10218C5F">
      <w:pPr>
        <w:pStyle w:val="19"/>
        <w:tabs>
          <w:tab w:val="right" w:leader="dot" w:pos="9354"/>
        </w:tabs>
      </w:pPr>
      <w:r>
        <w:fldChar w:fldCharType="begin"/>
      </w:r>
      <w:r>
        <w:instrText xml:space="preserve"> HYPERLINK \l "_Toc17980" </w:instrText>
      </w:r>
      <w:r>
        <w:fldChar w:fldCharType="separate"/>
      </w:r>
      <w:r>
        <w:rPr>
          <w:rFonts w:hint="eastAsia"/>
        </w:rPr>
        <w:t>3 术语和定义</w:t>
      </w:r>
      <w:r>
        <w:rPr>
          <w:rFonts w:hint="eastAsia"/>
        </w:rPr>
        <w:tab/>
      </w:r>
      <w:r>
        <w:rPr>
          <w:rFonts w:hint="eastAsia"/>
        </w:rPr>
        <w:fldChar w:fldCharType="begin"/>
      </w:r>
      <w:r>
        <w:rPr>
          <w:rFonts w:hint="eastAsia"/>
        </w:rPr>
        <w:instrText xml:space="preserve"> PAGEREF _Toc17980 \h </w:instrText>
      </w:r>
      <w:r>
        <w:rPr>
          <w:rFonts w:hint="eastAsia"/>
        </w:rPr>
        <w:fldChar w:fldCharType="separate"/>
      </w:r>
      <w:r>
        <w:rPr>
          <w:rFonts w:hint="eastAsia"/>
        </w:rPr>
        <w:t>1</w:t>
      </w:r>
      <w:r>
        <w:rPr>
          <w:rFonts w:hint="eastAsia"/>
        </w:rPr>
        <w:fldChar w:fldCharType="end"/>
      </w:r>
      <w:r>
        <w:rPr>
          <w:rFonts w:hint="eastAsia"/>
        </w:rPr>
        <w:fldChar w:fldCharType="end"/>
      </w:r>
    </w:p>
    <w:p w14:paraId="10B14A76">
      <w:pPr>
        <w:pStyle w:val="19"/>
        <w:tabs>
          <w:tab w:val="right" w:leader="dot" w:pos="9354"/>
        </w:tabs>
        <w:rPr>
          <w:rFonts w:hint="eastAsia" w:eastAsia="宋体"/>
          <w:lang w:val="en-US" w:eastAsia="zh-CN"/>
        </w:rPr>
      </w:pPr>
      <w:r>
        <w:fldChar w:fldCharType="begin"/>
      </w:r>
      <w:r>
        <w:instrText xml:space="preserve"> HYPERLINK \l "_Toc14505" </w:instrText>
      </w:r>
      <w:r>
        <w:fldChar w:fldCharType="separate"/>
      </w:r>
      <w:r>
        <w:rPr>
          <w:rFonts w:hint="eastAsia"/>
        </w:rPr>
        <w:t>4 机构管理</w:t>
      </w:r>
      <w:r>
        <w:rPr>
          <w:rFonts w:hint="eastAsia"/>
        </w:rPr>
        <w:tab/>
      </w:r>
      <w:r>
        <w:rPr>
          <w:rFonts w:hint="eastAsia"/>
        </w:rPr>
        <w:fldChar w:fldCharType="end"/>
      </w:r>
      <w:r>
        <w:rPr>
          <w:rFonts w:hint="eastAsia"/>
          <w:lang w:val="en-US" w:eastAsia="zh-CN"/>
        </w:rPr>
        <w:t>2</w:t>
      </w:r>
      <w:bookmarkStart w:id="57" w:name="_GoBack"/>
      <w:bookmarkEnd w:id="57"/>
    </w:p>
    <w:p w14:paraId="52FCFC7D">
      <w:pPr>
        <w:pStyle w:val="19"/>
        <w:tabs>
          <w:tab w:val="right" w:leader="dot" w:pos="9354"/>
        </w:tabs>
      </w:pPr>
      <w:r>
        <w:fldChar w:fldCharType="begin"/>
      </w:r>
      <w:r>
        <w:instrText xml:space="preserve"> HYPERLINK \l "_Toc17050" </w:instrText>
      </w:r>
      <w:r>
        <w:fldChar w:fldCharType="separate"/>
      </w:r>
      <w:r>
        <w:rPr>
          <w:rFonts w:hint="eastAsia"/>
        </w:rPr>
        <w:t>5 运行管理</w:t>
      </w:r>
      <w:r>
        <w:rPr>
          <w:rFonts w:hint="eastAsia"/>
        </w:rPr>
        <w:tab/>
      </w:r>
      <w:r>
        <w:t>4</w:t>
      </w:r>
      <w:r>
        <w:fldChar w:fldCharType="end"/>
      </w:r>
    </w:p>
    <w:p w14:paraId="26FECDB2">
      <w:pPr>
        <w:pStyle w:val="19"/>
        <w:tabs>
          <w:tab w:val="right" w:leader="dot" w:pos="9354"/>
        </w:tabs>
      </w:pPr>
      <w:r>
        <w:fldChar w:fldCharType="begin"/>
      </w:r>
      <w:r>
        <w:instrText xml:space="preserve"> HYPERLINK \l "_Toc11473" </w:instrText>
      </w:r>
      <w:r>
        <w:fldChar w:fldCharType="separate"/>
      </w:r>
      <w:r>
        <w:rPr>
          <w:rFonts w:hint="eastAsia"/>
        </w:rPr>
        <w:t>6 绿色文化</w:t>
      </w:r>
      <w:r>
        <w:rPr>
          <w:rFonts w:hint="eastAsia"/>
        </w:rPr>
        <w:tab/>
      </w:r>
      <w:r>
        <w:t>6</w:t>
      </w:r>
      <w:r>
        <w:fldChar w:fldCharType="end"/>
      </w:r>
    </w:p>
    <w:p w14:paraId="596532F2">
      <w:pPr>
        <w:pStyle w:val="19"/>
        <w:tabs>
          <w:tab w:val="right" w:leader="dot" w:pos="9354"/>
        </w:tabs>
      </w:pPr>
      <w:r>
        <w:fldChar w:fldCharType="begin"/>
      </w:r>
      <w:r>
        <w:instrText xml:space="preserve"> HYPERLINK \l "_Toc4860" </w:instrText>
      </w:r>
      <w:r>
        <w:fldChar w:fldCharType="separate"/>
      </w:r>
      <w:r>
        <w:rPr>
          <w:rFonts w:hint="eastAsia"/>
        </w:rPr>
        <w:t>7 监督与改进</w:t>
      </w:r>
      <w:r>
        <w:rPr>
          <w:rFonts w:hint="eastAsia"/>
        </w:rPr>
        <w:tab/>
      </w:r>
      <w:r>
        <w:t>6</w:t>
      </w:r>
      <w:r>
        <w:fldChar w:fldCharType="end"/>
      </w:r>
    </w:p>
    <w:p w14:paraId="01E5DDF5">
      <w:pPr>
        <w:pStyle w:val="19"/>
        <w:tabs>
          <w:tab w:val="right" w:leader="dot" w:pos="9354"/>
        </w:tabs>
      </w:pPr>
      <w:r>
        <w:fldChar w:fldCharType="begin"/>
      </w:r>
      <w:r>
        <w:instrText xml:space="preserve"> HYPERLINK \l "_Toc6726" </w:instrText>
      </w:r>
      <w:r>
        <w:fldChar w:fldCharType="separate"/>
      </w:r>
      <w:r>
        <w:rPr>
          <w:rFonts w:hint="eastAsia"/>
        </w:rPr>
        <w:t>参考文献</w:t>
      </w:r>
      <w:r>
        <w:rPr>
          <w:rFonts w:hint="eastAsia"/>
        </w:rPr>
        <w:tab/>
      </w:r>
      <w:r>
        <w:rPr>
          <w:rFonts w:hint="eastAsia"/>
        </w:rPr>
        <w:fldChar w:fldCharType="begin"/>
      </w:r>
      <w:r>
        <w:rPr>
          <w:rFonts w:hint="eastAsia"/>
        </w:rPr>
        <w:instrText xml:space="preserve"> PAGEREF _Toc6726 \h </w:instrText>
      </w:r>
      <w:r>
        <w:rPr>
          <w:rFonts w:hint="eastAsia"/>
        </w:rPr>
        <w:fldChar w:fldCharType="separate"/>
      </w:r>
      <w:r>
        <w:rPr>
          <w:rFonts w:hint="eastAsia"/>
        </w:rPr>
        <w:t>8</w:t>
      </w:r>
      <w:r>
        <w:rPr>
          <w:rFonts w:hint="eastAsia"/>
        </w:rPr>
        <w:fldChar w:fldCharType="end"/>
      </w:r>
      <w:r>
        <w:rPr>
          <w:rFonts w:hint="eastAsia"/>
        </w:rPr>
        <w:fldChar w:fldCharType="end"/>
      </w:r>
    </w:p>
    <w:p w14:paraId="70D33E7D">
      <w:pPr>
        <w:pStyle w:val="19"/>
        <w:tabs>
          <w:tab w:val="right" w:leader="dot" w:pos="9354"/>
        </w:tabs>
      </w:pPr>
      <w:r>
        <w:rPr>
          <w:rFonts w:hint="eastAsia"/>
        </w:rPr>
        <w:fldChar w:fldCharType="end"/>
      </w:r>
    </w:p>
    <w:p w14:paraId="6EC7194E"/>
    <w:p w14:paraId="39DC6C5D">
      <w:r>
        <w:rPr>
          <w:spacing w:val="320"/>
        </w:rPr>
        <w:br w:type="page"/>
      </w:r>
    </w:p>
    <w:p w14:paraId="3D47E5A3">
      <w:pPr>
        <w:pStyle w:val="89"/>
        <w:spacing w:after="468"/>
      </w:pPr>
    </w:p>
    <w:p w14:paraId="18C91DB0">
      <w:pPr>
        <w:pStyle w:val="89"/>
        <w:spacing w:after="468"/>
      </w:pPr>
      <w:bookmarkStart w:id="15" w:name="_Toc4028"/>
      <w:r>
        <w:rPr>
          <w:spacing w:val="320"/>
        </w:rPr>
        <w:t>前</w:t>
      </w:r>
      <w:r>
        <w:t>言</w:t>
      </w:r>
      <w:bookmarkEnd w:id="15"/>
    </w:p>
    <w:p w14:paraId="62C52FF5">
      <w:pPr>
        <w:pStyle w:val="56"/>
        <w:ind w:firstLine="420"/>
      </w:pPr>
      <w:r>
        <w:rPr>
          <w:rFonts w:hint="eastAsia"/>
        </w:rPr>
        <w:t>本文件按照GB/T 1.1—2020《标准化工作导则  第1部分：标准化文件的结构和起草规则》的规定起草。</w:t>
      </w:r>
    </w:p>
    <w:p w14:paraId="23F50449">
      <w:pPr>
        <w:pStyle w:val="56"/>
        <w:ind w:firstLine="420"/>
      </w:pPr>
      <w:r>
        <w:rPr>
          <w:rFonts w:hint="eastAsia"/>
        </w:rPr>
        <w:t>本文件由常州市机关事务管理局提出并归口。</w:t>
      </w:r>
    </w:p>
    <w:p w14:paraId="5983F6CF">
      <w:pPr>
        <w:pStyle w:val="56"/>
        <w:ind w:firstLine="420"/>
      </w:pPr>
      <w:r>
        <w:rPr>
          <w:rFonts w:hint="eastAsia"/>
        </w:rPr>
        <w:t>本文件起草单位：常州市机关事务管理局、常州市水资源服务中心。</w:t>
      </w:r>
    </w:p>
    <w:p w14:paraId="296D4B37">
      <w:pPr>
        <w:pStyle w:val="56"/>
        <w:ind w:firstLine="420"/>
      </w:pPr>
      <w:r>
        <w:rPr>
          <w:rFonts w:hint="eastAsia"/>
        </w:rPr>
        <w:t>本文件主要起草人：凌洁、刁菊霞、曹渊、黄沛、张磊。</w:t>
      </w:r>
    </w:p>
    <w:p w14:paraId="01F8555C">
      <w:pPr>
        <w:pStyle w:val="56"/>
        <w:ind w:firstLine="420"/>
      </w:pPr>
    </w:p>
    <w:p w14:paraId="586660D7">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3"/>
    <w:p w14:paraId="2B22AA14">
      <w:pPr>
        <w:spacing w:line="20" w:lineRule="exact"/>
        <w:jc w:val="center"/>
        <w:rPr>
          <w:rFonts w:ascii="黑体" w:hAnsi="黑体" w:eastAsia="黑体"/>
          <w:sz w:val="32"/>
          <w:szCs w:val="32"/>
        </w:rPr>
      </w:pPr>
      <w:bookmarkStart w:id="16" w:name="BookMark4"/>
    </w:p>
    <w:p w14:paraId="436941CD">
      <w:pPr>
        <w:spacing w:line="20" w:lineRule="exact"/>
        <w:jc w:val="center"/>
        <w:rPr>
          <w:rFonts w:ascii="黑体" w:hAnsi="黑体" w:eastAsia="黑体"/>
          <w:sz w:val="32"/>
          <w:szCs w:val="32"/>
        </w:rPr>
      </w:pPr>
    </w:p>
    <w:sdt>
      <w:sdtPr>
        <w:tag w:val="NEW_STAND_NAME"/>
        <w:id w:val="595910757"/>
        <w:lock w:val="sdtLocked"/>
        <w:placeholder>
          <w:docPart w:val="5666F49FE7CC41BBBE19ED9ED4CCF88A"/>
        </w:placeholder>
      </w:sdtPr>
      <w:sdtContent>
        <w:p w14:paraId="55A27CD3">
          <w:pPr>
            <w:pStyle w:val="177"/>
            <w:spacing w:before="686" w:beforeLines="220" w:after="686" w:afterLines="220"/>
          </w:pPr>
          <w:bookmarkStart w:id="17" w:name="NEW_STAND_NAME"/>
          <w:r>
            <w:rPr>
              <w:rFonts w:hint="eastAsia"/>
            </w:rPr>
            <w:t>公共机构绿色办公区管理规范</w:t>
          </w:r>
        </w:p>
      </w:sdtContent>
    </w:sdt>
    <w:bookmarkEnd w:id="17"/>
    <w:p w14:paraId="5BC292AD">
      <w:pPr>
        <w:pStyle w:val="104"/>
        <w:spacing w:before="312" w:after="312"/>
      </w:pPr>
      <w:bookmarkStart w:id="18" w:name="_Toc97191423"/>
      <w:bookmarkStart w:id="19" w:name="_Toc26986530"/>
      <w:bookmarkStart w:id="20" w:name="_Toc26986771"/>
      <w:bookmarkStart w:id="21" w:name="_Toc26648465"/>
      <w:bookmarkStart w:id="22" w:name="_Toc24884218"/>
      <w:bookmarkStart w:id="23" w:name="_Toc24884211"/>
      <w:bookmarkStart w:id="24" w:name="_Toc26718930"/>
      <w:bookmarkStart w:id="25" w:name="_Toc13882"/>
      <w:bookmarkStart w:id="26" w:name="_Toc17233333"/>
      <w:bookmarkStart w:id="27" w:name="_Toc17233325"/>
      <w:r>
        <w:rPr>
          <w:rFonts w:hint="eastAsia"/>
        </w:rPr>
        <w:t>范围</w:t>
      </w:r>
      <w:bookmarkEnd w:id="18"/>
      <w:bookmarkEnd w:id="19"/>
      <w:bookmarkEnd w:id="20"/>
      <w:bookmarkEnd w:id="21"/>
      <w:bookmarkEnd w:id="22"/>
      <w:bookmarkEnd w:id="23"/>
      <w:bookmarkEnd w:id="24"/>
      <w:bookmarkEnd w:id="25"/>
      <w:bookmarkEnd w:id="26"/>
      <w:bookmarkEnd w:id="27"/>
    </w:p>
    <w:p w14:paraId="0E6BFF23">
      <w:pPr>
        <w:pStyle w:val="56"/>
        <w:ind w:firstLine="420"/>
      </w:pPr>
      <w:bookmarkStart w:id="28" w:name="_Toc26648466"/>
      <w:bookmarkStart w:id="29" w:name="_Toc17233326"/>
      <w:bookmarkStart w:id="30" w:name="_Toc24884212"/>
      <w:bookmarkStart w:id="31" w:name="_Toc24884219"/>
      <w:bookmarkStart w:id="32" w:name="_Toc17233334"/>
      <w:r>
        <w:rPr>
          <w:rFonts w:hint="eastAsia"/>
        </w:rPr>
        <w:t>本文件规定了公共机构绿色办公区术语和定义、组织管理与制度建设、绿色建筑与设施设备、绿色环境、运行管理、绿色文化、监督与改进等方面的内容。</w:t>
      </w:r>
    </w:p>
    <w:p w14:paraId="67F67210">
      <w:pPr>
        <w:pStyle w:val="56"/>
        <w:ind w:firstLine="420"/>
      </w:pPr>
      <w:r>
        <w:rPr>
          <w:rFonts w:hint="eastAsia"/>
        </w:rPr>
        <w:t>本文件适用于江苏省各级公共机构绿色办公区管理。</w:t>
      </w:r>
    </w:p>
    <w:p w14:paraId="4BC42821">
      <w:pPr>
        <w:pStyle w:val="104"/>
        <w:spacing w:before="312" w:after="312"/>
      </w:pPr>
      <w:bookmarkStart w:id="33" w:name="_Toc26718931"/>
      <w:bookmarkStart w:id="34" w:name="_Toc97191424"/>
      <w:bookmarkStart w:id="35" w:name="_Toc26986772"/>
      <w:bookmarkStart w:id="36" w:name="_Toc26986531"/>
      <w:bookmarkStart w:id="37" w:name="_Toc3617"/>
      <w:r>
        <w:rPr>
          <w:rFonts w:hint="eastAsia"/>
        </w:rPr>
        <w:t>规范性引用文件</w:t>
      </w:r>
      <w:bookmarkEnd w:id="28"/>
      <w:bookmarkEnd w:id="29"/>
      <w:bookmarkEnd w:id="30"/>
      <w:bookmarkEnd w:id="31"/>
      <w:bookmarkEnd w:id="32"/>
      <w:bookmarkEnd w:id="33"/>
      <w:bookmarkEnd w:id="34"/>
      <w:bookmarkEnd w:id="35"/>
      <w:bookmarkEnd w:id="36"/>
      <w:bookmarkEnd w:id="37"/>
    </w:p>
    <w:p w14:paraId="7A90C092">
      <w:pPr>
        <w:pStyle w:val="231"/>
        <w:rPr>
          <w:szCs w:val="21"/>
        </w:rPr>
      </w:pPr>
      <w:bookmarkStart w:id="38" w:name="_Toc97191425"/>
      <w:r>
        <w:rPr>
          <w:rFonts w:hint="eastAsia"/>
          <w:szCs w:val="21"/>
        </w:rPr>
        <w:t>下列文件中的内容通过文中的规范性引用而构成文件必不可少的条款。其中，注日期的引用文件，仅该日期对应的版本适用于本文件；不注日期的引用文件，其最新版本（包括所有的修改单）适用于本文件。</w:t>
      </w:r>
    </w:p>
    <w:p w14:paraId="7DF39CC7">
      <w:pPr>
        <w:pStyle w:val="231"/>
        <w:rPr>
          <w:szCs w:val="21"/>
        </w:rPr>
      </w:pPr>
      <w:r>
        <w:rPr>
          <w:rFonts w:hint="eastAsia" w:ascii="黑体" w:hAnsi="黑体" w:eastAsia="黑体" w:cs="黑体"/>
          <w:szCs w:val="21"/>
        </w:rPr>
        <w:t>GB/T 19095</w:t>
      </w:r>
      <w:r>
        <w:rPr>
          <w:rFonts w:hint="eastAsia"/>
          <w:szCs w:val="21"/>
        </w:rPr>
        <w:t xml:space="preserve">  生活垃圾分类标志</w:t>
      </w:r>
    </w:p>
    <w:p w14:paraId="4ECA821C">
      <w:pPr>
        <w:pStyle w:val="231"/>
        <w:rPr>
          <w:rFonts w:ascii="黑体" w:hAnsi="黑体" w:eastAsia="黑体" w:cs="黑体"/>
        </w:rPr>
      </w:pPr>
      <w:r>
        <w:rPr>
          <w:rFonts w:hint="eastAsia" w:ascii="黑体" w:hAnsi="黑体" w:eastAsia="黑体" w:cs="黑体"/>
          <w:szCs w:val="21"/>
        </w:rPr>
        <w:t>GB/T 24915</w:t>
      </w:r>
      <w:r>
        <w:rPr>
          <w:rFonts w:hint="eastAsia"/>
          <w:szCs w:val="21"/>
        </w:rPr>
        <w:t xml:space="preserve">  合同能源管理技术通则</w:t>
      </w:r>
    </w:p>
    <w:p w14:paraId="4EA12CB6">
      <w:pPr>
        <w:pStyle w:val="231"/>
        <w:rPr>
          <w:rFonts w:ascii="黑体" w:hAnsi="黑体" w:eastAsia="黑体" w:cs="黑体"/>
        </w:rPr>
      </w:pPr>
      <w:r>
        <w:rPr>
          <w:rFonts w:hint="eastAsia" w:ascii="黑体" w:hAnsi="黑体" w:eastAsia="黑体" w:cs="黑体"/>
        </w:rPr>
        <w:t xml:space="preserve">GB/T 29118  </w:t>
      </w:r>
      <w:r>
        <w:rPr>
          <w:rFonts w:hint="eastAsia"/>
        </w:rPr>
        <w:t>节约型机关评价导则</w:t>
      </w:r>
    </w:p>
    <w:p w14:paraId="6629D752">
      <w:pPr>
        <w:pStyle w:val="231"/>
      </w:pPr>
      <w:r>
        <w:rPr>
          <w:rFonts w:hint="eastAsia" w:ascii="黑体" w:hAnsi="黑体" w:eastAsia="黑体" w:cs="黑体"/>
        </w:rPr>
        <w:t xml:space="preserve">GB/T 29149 </w:t>
      </w:r>
      <w:r>
        <w:rPr>
          <w:rFonts w:hint="eastAsia"/>
        </w:rPr>
        <w:t xml:space="preserve"> 公共机构能源资源计量器具配备和管理要求</w:t>
      </w:r>
    </w:p>
    <w:p w14:paraId="32087F61">
      <w:pPr>
        <w:pStyle w:val="231"/>
      </w:pPr>
      <w:r>
        <w:rPr>
          <w:rFonts w:hint="eastAsia" w:ascii="黑体" w:hAnsi="黑体" w:eastAsia="黑体" w:cs="黑体"/>
        </w:rPr>
        <w:t>GB/T 32019</w:t>
      </w:r>
      <w:r>
        <w:rPr>
          <w:rFonts w:hint="eastAsia" w:hAnsi="宋体"/>
          <w:szCs w:val="21"/>
        </w:rPr>
        <w:t xml:space="preserve">  公共机构能源管理体系实施指南</w:t>
      </w:r>
    </w:p>
    <w:p w14:paraId="1C4E6E37">
      <w:pPr>
        <w:pStyle w:val="231"/>
      </w:pPr>
      <w:r>
        <w:rPr>
          <w:rFonts w:hint="eastAsia" w:ascii="黑体" w:hAnsi="黑体" w:eastAsia="黑体" w:cs="黑体"/>
        </w:rPr>
        <w:t>GB/T 36710</w:t>
      </w:r>
      <w:r>
        <w:rPr>
          <w:rFonts w:hint="eastAsia"/>
        </w:rPr>
        <w:t xml:space="preserve">  公共机构办公区节能运行管理规范</w:t>
      </w:r>
    </w:p>
    <w:p w14:paraId="74BE91F4">
      <w:pPr>
        <w:pStyle w:val="231"/>
        <w:rPr>
          <w:rFonts w:hAnsi="宋体" w:cs="宋体"/>
          <w:color w:val="000000"/>
          <w:szCs w:val="21"/>
          <w:lang w:bidi="ar"/>
        </w:rPr>
      </w:pPr>
      <w:r>
        <w:rPr>
          <w:rFonts w:hint="eastAsia" w:ascii="黑体" w:hAnsi="黑体" w:eastAsia="黑体" w:cs="黑体"/>
        </w:rPr>
        <w:t>GB/T 37813</w:t>
      </w:r>
      <w:r>
        <w:rPr>
          <w:rFonts w:hint="eastAsia"/>
        </w:rPr>
        <w:t xml:space="preserve">  公共机构节水管理规范</w:t>
      </w:r>
    </w:p>
    <w:p w14:paraId="5E88F57B">
      <w:pPr>
        <w:pStyle w:val="231"/>
        <w:rPr>
          <w:szCs w:val="21"/>
        </w:rPr>
      </w:pPr>
      <w:r>
        <w:rPr>
          <w:rFonts w:hint="eastAsia" w:ascii="黑体" w:hAnsi="黑体" w:eastAsia="黑体" w:cs="黑体"/>
          <w:szCs w:val="21"/>
        </w:rPr>
        <w:t>GB/T 41568</w:t>
      </w:r>
      <w:r>
        <w:rPr>
          <w:rFonts w:hint="eastAsia"/>
          <w:szCs w:val="21"/>
        </w:rPr>
        <w:t xml:space="preserve">  机关事务管理 术语</w:t>
      </w:r>
    </w:p>
    <w:p w14:paraId="10B316E3">
      <w:pPr>
        <w:pStyle w:val="231"/>
        <w:rPr>
          <w:szCs w:val="21"/>
        </w:rPr>
      </w:pPr>
      <w:r>
        <w:rPr>
          <w:rFonts w:hint="eastAsia" w:ascii="黑体" w:hAnsi="黑体" w:eastAsia="黑体" w:cs="黑体"/>
          <w:szCs w:val="21"/>
        </w:rPr>
        <w:t>GB/T 42967</w:t>
      </w:r>
      <w:r>
        <w:rPr>
          <w:rFonts w:hint="eastAsia"/>
          <w:szCs w:val="21"/>
        </w:rPr>
        <w:t xml:space="preserve">  机关食堂反食品浪费工作指南</w:t>
      </w:r>
    </w:p>
    <w:p w14:paraId="11DDEDA9">
      <w:pPr>
        <w:pStyle w:val="231"/>
      </w:pPr>
      <w:r>
        <w:rPr>
          <w:rFonts w:hint="eastAsia" w:ascii="黑体" w:hAnsi="黑体" w:eastAsia="黑体" w:cs="黑体"/>
        </w:rPr>
        <w:t>GB 50033</w:t>
      </w:r>
      <w:r>
        <w:rPr>
          <w:rFonts w:hint="eastAsia"/>
        </w:rPr>
        <w:t xml:space="preserve">    建筑采光设计标准</w:t>
      </w:r>
    </w:p>
    <w:p w14:paraId="430ECA8B">
      <w:pPr>
        <w:pStyle w:val="231"/>
      </w:pPr>
      <w:r>
        <w:rPr>
          <w:rFonts w:hint="eastAsia" w:ascii="黑体" w:hAnsi="黑体" w:eastAsia="黑体" w:cs="黑体"/>
        </w:rPr>
        <w:t>GB/T 50034</w:t>
      </w:r>
      <w:r>
        <w:rPr>
          <w:rFonts w:hint="eastAsia"/>
        </w:rPr>
        <w:t xml:space="preserve">  建筑照明设计标准</w:t>
      </w:r>
    </w:p>
    <w:p w14:paraId="334998E4">
      <w:pPr>
        <w:pStyle w:val="231"/>
        <w:rPr>
          <w:szCs w:val="21"/>
        </w:rPr>
      </w:pPr>
      <w:r>
        <w:rPr>
          <w:rFonts w:hint="eastAsia" w:ascii="黑体" w:hAnsi="黑体" w:eastAsia="黑体" w:cs="黑体"/>
        </w:rPr>
        <w:t xml:space="preserve">GB 50118 </w:t>
      </w:r>
      <w:r>
        <w:rPr>
          <w:rFonts w:hint="eastAsia"/>
        </w:rPr>
        <w:t xml:space="preserve">   民用建筑隔声设计规范</w:t>
      </w:r>
    </w:p>
    <w:p w14:paraId="7469F90F">
      <w:pPr>
        <w:pStyle w:val="231"/>
        <w:rPr>
          <w:rFonts w:hAnsi="宋体" w:cs="宋体"/>
          <w:color w:val="000000"/>
          <w:szCs w:val="21"/>
          <w:lang w:bidi="ar"/>
        </w:rPr>
      </w:pPr>
      <w:r>
        <w:rPr>
          <w:rFonts w:hint="eastAsia" w:ascii="黑体" w:hAnsi="黑体" w:eastAsia="黑体" w:cs="黑体"/>
        </w:rPr>
        <w:t>GB 50189</w:t>
      </w:r>
      <w:r>
        <w:rPr>
          <w:rFonts w:hint="eastAsia" w:hAnsi="宋体" w:cs="宋体"/>
          <w:color w:val="000000"/>
          <w:szCs w:val="21"/>
          <w:lang w:bidi="ar"/>
        </w:rPr>
        <w:t xml:space="preserve">    公共建筑节能设计标准</w:t>
      </w:r>
    </w:p>
    <w:p w14:paraId="2C07A783">
      <w:pPr>
        <w:pStyle w:val="231"/>
      </w:pPr>
      <w:r>
        <w:rPr>
          <w:rFonts w:hint="eastAsia" w:ascii="黑体" w:hAnsi="黑体" w:eastAsia="黑体" w:cs="黑体"/>
        </w:rPr>
        <w:t>GB/T 50356</w:t>
      </w:r>
      <w:r>
        <w:rPr>
          <w:rFonts w:hint="eastAsia"/>
        </w:rPr>
        <w:t xml:space="preserve">  剧场、电影院和多用途厅堂建筑声学设计规范</w:t>
      </w:r>
    </w:p>
    <w:p w14:paraId="2DC1A7E6">
      <w:pPr>
        <w:pStyle w:val="231"/>
        <w:rPr>
          <w:szCs w:val="21"/>
        </w:rPr>
      </w:pPr>
      <w:r>
        <w:rPr>
          <w:rFonts w:hint="eastAsia" w:ascii="黑体" w:hAnsi="黑体" w:eastAsia="黑体" w:cs="黑体"/>
        </w:rPr>
        <w:t xml:space="preserve">GB/T 50378  </w:t>
      </w:r>
      <w:r>
        <w:rPr>
          <w:rFonts w:hint="eastAsia"/>
          <w:szCs w:val="21"/>
        </w:rPr>
        <w:t>绿色建筑评价标准</w:t>
      </w:r>
    </w:p>
    <w:p w14:paraId="3FA0C3D7">
      <w:pPr>
        <w:pStyle w:val="231"/>
        <w:rPr>
          <w:szCs w:val="21"/>
        </w:rPr>
      </w:pPr>
      <w:r>
        <w:rPr>
          <w:rFonts w:hint="eastAsia" w:ascii="黑体" w:hAnsi="黑体" w:eastAsia="黑体" w:cs="黑体"/>
        </w:rPr>
        <w:t xml:space="preserve">GB/T 51141  </w:t>
      </w:r>
      <w:r>
        <w:rPr>
          <w:rFonts w:hint="eastAsia" w:hAnsi="宋体"/>
          <w:kern w:val="2"/>
          <w:szCs w:val="21"/>
        </w:rPr>
        <w:t>既有建筑绿色改造评价标准</w:t>
      </w:r>
    </w:p>
    <w:p w14:paraId="5845C611">
      <w:pPr>
        <w:pStyle w:val="231"/>
        <w:rPr>
          <w:szCs w:val="21"/>
        </w:rPr>
      </w:pPr>
      <w:r>
        <w:rPr>
          <w:rFonts w:ascii="黑体" w:hAnsi="黑体" w:eastAsia="黑体" w:cs="黑体"/>
        </w:rPr>
        <w:t>DB32</w:t>
      </w:r>
      <w:r>
        <w:rPr>
          <w:rFonts w:hint="eastAsia" w:ascii="黑体" w:hAnsi="黑体" w:eastAsia="黑体" w:cs="黑体"/>
        </w:rPr>
        <w:t>/</w:t>
      </w:r>
      <w:r>
        <w:rPr>
          <w:rFonts w:ascii="黑体" w:hAnsi="黑体" w:eastAsia="黑体" w:cs="黑体"/>
        </w:rPr>
        <w:t>T 4001</w:t>
      </w:r>
      <w:r>
        <w:rPr>
          <w:rFonts w:hint="eastAsia" w:hAnsi="宋体"/>
          <w:szCs w:val="21"/>
        </w:rPr>
        <w:t xml:space="preserve"> </w:t>
      </w:r>
      <w:r>
        <w:rPr>
          <w:rFonts w:hint="eastAsia" w:ascii="Times New Roman"/>
          <w:spacing w:val="-2"/>
          <w:szCs w:val="21"/>
        </w:rPr>
        <w:t>公共机构能耗定额及计算方法</w:t>
      </w:r>
    </w:p>
    <w:p w14:paraId="3D6601E1">
      <w:pPr>
        <w:pStyle w:val="104"/>
        <w:spacing w:before="312" w:after="312"/>
      </w:pPr>
      <w:bookmarkStart w:id="39" w:name="_Toc17980"/>
      <w:r>
        <w:rPr>
          <w:rFonts w:hint="eastAsia"/>
          <w:szCs w:val="21"/>
        </w:rPr>
        <w:t>术语和定义</w:t>
      </w:r>
      <w:bookmarkEnd w:id="38"/>
      <w:bookmarkEnd w:id="39"/>
    </w:p>
    <w:p w14:paraId="56888CF5">
      <w:pPr>
        <w:pStyle w:val="56"/>
        <w:ind w:firstLine="420"/>
      </w:pPr>
      <w:bookmarkStart w:id="40" w:name="_Toc26986532"/>
      <w:bookmarkEnd w:id="40"/>
      <w:r>
        <w:rPr>
          <w:rFonts w:hint="eastAsia"/>
        </w:rPr>
        <w:t>下列</w:t>
      </w:r>
      <w:r>
        <w:t>术语和定义适用于本文件</w:t>
      </w:r>
      <w:r>
        <w:rPr>
          <w:rFonts w:hint="eastAsia"/>
        </w:rPr>
        <w:t>。</w:t>
      </w:r>
    </w:p>
    <w:p w14:paraId="29038613">
      <w:pPr>
        <w:pStyle w:val="235"/>
        <w:numPr>
          <w:ilvl w:val="1"/>
          <w:numId w:val="0"/>
        </w:numPr>
        <w:spacing w:before="156" w:after="156"/>
      </w:pPr>
      <w:r>
        <w:rPr>
          <w:rFonts w:hint="eastAsia"/>
        </w:rPr>
        <w:t>3.1</w:t>
      </w:r>
    </w:p>
    <w:p w14:paraId="3BA3D36E">
      <w:pPr>
        <w:pStyle w:val="231"/>
        <w:rPr>
          <w:rFonts w:ascii="黑体" w:hAnsi="黑体" w:eastAsia="黑体"/>
        </w:rPr>
      </w:pPr>
      <w:bookmarkStart w:id="41" w:name="_Toc129075328"/>
      <w:bookmarkEnd w:id="41"/>
      <w:r>
        <w:rPr>
          <w:rFonts w:hint="eastAsia" w:ascii="黑体" w:hAnsi="黑体" w:eastAsia="黑体"/>
        </w:rPr>
        <w:t>公共机构  public institution</w:t>
      </w:r>
    </w:p>
    <w:p w14:paraId="50563B68">
      <w:pPr>
        <w:pStyle w:val="231"/>
      </w:pPr>
      <w:r>
        <w:rPr>
          <w:rFonts w:hint="eastAsia"/>
        </w:rPr>
        <w:t>全部或者部分使用财政性资金的国家机关、事业单位和团体组织。</w:t>
      </w:r>
    </w:p>
    <w:p w14:paraId="5692E40A">
      <w:pPr>
        <w:pStyle w:val="231"/>
      </w:pPr>
      <w:r>
        <w:rPr>
          <w:rFonts w:hint="eastAsia"/>
        </w:rPr>
        <w:t>[来源:GB/T 41568-2022]</w:t>
      </w:r>
    </w:p>
    <w:p w14:paraId="7940B382">
      <w:pPr>
        <w:pStyle w:val="235"/>
        <w:numPr>
          <w:ilvl w:val="1"/>
          <w:numId w:val="0"/>
        </w:numPr>
        <w:spacing w:before="156" w:after="156"/>
      </w:pPr>
      <w:r>
        <w:rPr>
          <w:rFonts w:hint="eastAsia"/>
        </w:rPr>
        <w:t>3.2</w:t>
      </w:r>
    </w:p>
    <w:p w14:paraId="62E31E5A">
      <w:pPr>
        <w:pStyle w:val="231"/>
        <w:rPr>
          <w:rFonts w:ascii="黑体" w:hAnsi="黑体" w:eastAsia="黑体"/>
        </w:rPr>
      </w:pPr>
      <w:r>
        <w:rPr>
          <w:rFonts w:hint="eastAsia" w:ascii="黑体" w:hAnsi="黑体" w:eastAsia="黑体"/>
        </w:rPr>
        <w:t>绿色办公区  green office area</w:t>
      </w:r>
    </w:p>
    <w:p w14:paraId="53204E00">
      <w:pPr>
        <w:pStyle w:val="231"/>
      </w:pPr>
      <w:r>
        <w:rPr>
          <w:rFonts w:hint="eastAsia"/>
          <w:szCs w:val="21"/>
        </w:rPr>
        <w:t>贯彻创新、协调、绿色、开放、共享发展理念，合理利用各种资源，提高能源资源利用效率，为工作人员创造更加健康、安全、舒适、高效工作环境的办公区域</w:t>
      </w:r>
      <w:r>
        <w:rPr>
          <w:rFonts w:hint="eastAsia"/>
        </w:rPr>
        <w:t>。</w:t>
      </w:r>
    </w:p>
    <w:p w14:paraId="5DD97167">
      <w:pPr>
        <w:pStyle w:val="104"/>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机构管理</w:t>
      </w:r>
    </w:p>
    <w:p w14:paraId="2309B4F9">
      <w:pPr>
        <w:pStyle w:val="231"/>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4.1  组织管理</w:t>
      </w:r>
    </w:p>
    <w:p w14:paraId="13302C17">
      <w:pPr>
        <w:widowControl/>
        <w:spacing w:line="240" w:lineRule="auto"/>
        <w:jc w:val="left"/>
        <w:rPr>
          <w:rFonts w:ascii="宋体" w:hAnsi="宋体"/>
        </w:rPr>
      </w:pPr>
      <w:bookmarkStart w:id="42" w:name="_Toc129075330"/>
      <w:r>
        <w:rPr>
          <w:rFonts w:hint="eastAsia" w:ascii="黑体" w:hAnsi="黑体" w:eastAsia="黑体" w:cs="黑体"/>
        </w:rPr>
        <w:t>4.1.1</w:t>
      </w:r>
      <w:r>
        <w:rPr>
          <w:rFonts w:hint="eastAsia" w:ascii="宋体" w:hAnsi="宋体"/>
        </w:rPr>
        <w:t xml:space="preserve">  应成立绿色办公区管理机构，并有相应经费保障。</w:t>
      </w:r>
    </w:p>
    <w:p w14:paraId="74F00552">
      <w:pPr>
        <w:widowControl/>
        <w:spacing w:line="240" w:lineRule="auto"/>
        <w:jc w:val="left"/>
        <w:rPr>
          <w:rFonts w:ascii="宋体" w:hAnsi="宋体"/>
        </w:rPr>
      </w:pPr>
      <w:r>
        <w:rPr>
          <w:rFonts w:hint="eastAsia" w:ascii="黑体" w:hAnsi="黑体" w:eastAsia="黑体" w:cs="黑体"/>
        </w:rPr>
        <w:t>4.1.2</w:t>
      </w:r>
      <w:r>
        <w:rPr>
          <w:rFonts w:hint="eastAsia" w:ascii="宋体" w:hAnsi="宋体"/>
        </w:rPr>
        <w:t xml:space="preserve">  应设置对应的管理岗位，明确专人负责，做到权责清晰、分工明确。</w:t>
      </w:r>
    </w:p>
    <w:bookmarkEnd w:id="42"/>
    <w:p w14:paraId="76B433AE">
      <w:pPr>
        <w:widowControl/>
        <w:spacing w:line="240" w:lineRule="auto"/>
        <w:jc w:val="left"/>
        <w:rPr>
          <w:rFonts w:ascii="宋体" w:hAnsi="宋体"/>
        </w:rPr>
      </w:pPr>
      <w:bookmarkStart w:id="43" w:name="_Toc129075332"/>
      <w:r>
        <w:rPr>
          <w:rFonts w:hint="eastAsia" w:ascii="黑体" w:hAnsi="黑体" w:eastAsia="黑体" w:cs="黑体"/>
        </w:rPr>
        <w:t>4.1.3</w:t>
      </w:r>
      <w:r>
        <w:rPr>
          <w:rFonts w:hint="eastAsia" w:ascii="宋体" w:hAnsi="宋体"/>
        </w:rPr>
        <w:t xml:space="preserve">  应建立绿色办公区志愿者队伍，定期开展志愿服务活动。</w:t>
      </w:r>
      <w:bookmarkEnd w:id="43"/>
    </w:p>
    <w:p w14:paraId="45B13750">
      <w:pPr>
        <w:widowControl/>
        <w:spacing w:line="240" w:lineRule="auto"/>
        <w:jc w:val="left"/>
        <w:rPr>
          <w:rFonts w:ascii="宋体" w:hAnsi="宋体"/>
        </w:rPr>
      </w:pPr>
      <w:r>
        <w:rPr>
          <w:rFonts w:hint="eastAsia" w:ascii="黑体" w:hAnsi="黑体" w:eastAsia="黑体" w:cs="黑体"/>
        </w:rPr>
        <w:t>4.1.4</w:t>
      </w:r>
      <w:r>
        <w:rPr>
          <w:rFonts w:hint="eastAsia" w:ascii="宋体" w:hAnsi="宋体"/>
        </w:rPr>
        <w:t xml:space="preserve">  应建立公共机构能源管理体系，能源管理体系建设应符合 GB/T 32019的要求。</w:t>
      </w:r>
      <w:bookmarkStart w:id="44" w:name="_Toc5002"/>
    </w:p>
    <w:p w14:paraId="5F7CBE60">
      <w:pPr>
        <w:widowControl/>
        <w:adjustRightInd/>
        <w:spacing w:before="156" w:beforeLines="50" w:after="156" w:afterLines="50" w:line="240" w:lineRule="auto"/>
        <w:jc w:val="left"/>
      </w:pPr>
      <w:bookmarkStart w:id="45" w:name="_Hlk170290759"/>
      <w:r>
        <w:rPr>
          <w:rFonts w:hint="eastAsia" w:ascii="黑体" w:hAnsi="黑体" w:eastAsia="黑体" w:cs="黑体"/>
          <w:kern w:val="0"/>
        </w:rPr>
        <w:t>4.2  制度建设</w:t>
      </w:r>
      <w:bookmarkEnd w:id="44"/>
    </w:p>
    <w:bookmarkEnd w:id="45"/>
    <w:p w14:paraId="0736A9BA">
      <w:pPr>
        <w:widowControl/>
        <w:spacing w:line="240" w:lineRule="auto"/>
        <w:jc w:val="left"/>
        <w:rPr>
          <w:rFonts w:ascii="宋体" w:hAnsi="宋体"/>
        </w:rPr>
      </w:pPr>
      <w:r>
        <w:rPr>
          <w:rFonts w:hint="eastAsia" w:ascii="黑体" w:hAnsi="黑体" w:eastAsia="黑体" w:cs="黑体"/>
        </w:rPr>
        <w:t>4.2.1</w:t>
      </w:r>
      <w:r>
        <w:rPr>
          <w:rFonts w:hint="eastAsia" w:ascii="宋体" w:hAnsi="宋体"/>
        </w:rPr>
        <w:t xml:space="preserve">  应建立绿色办公区建设规划和实施方案。</w:t>
      </w:r>
    </w:p>
    <w:p w14:paraId="12F55872">
      <w:pPr>
        <w:widowControl/>
        <w:spacing w:line="240" w:lineRule="auto"/>
        <w:jc w:val="left"/>
        <w:rPr>
          <w:rFonts w:ascii="宋体" w:hAnsi="宋体"/>
        </w:rPr>
      </w:pPr>
      <w:r>
        <w:rPr>
          <w:rFonts w:hint="eastAsia" w:ascii="黑体" w:hAnsi="黑体" w:eastAsia="黑体" w:cs="黑体"/>
        </w:rPr>
        <w:t>4.2.2</w:t>
      </w:r>
      <w:r>
        <w:rPr>
          <w:rFonts w:hint="eastAsia" w:ascii="宋体" w:hAnsi="宋体"/>
        </w:rPr>
        <w:t xml:space="preserve">  应建立绿色办公目标任务、责任制度和考核办法，实施奖惩措施，或纳入绩效考核。</w:t>
      </w:r>
    </w:p>
    <w:p w14:paraId="75949A65">
      <w:pPr>
        <w:widowControl/>
        <w:spacing w:line="240" w:lineRule="auto"/>
        <w:jc w:val="left"/>
        <w:rPr>
          <w:rFonts w:ascii="宋体" w:hAnsi="宋体"/>
        </w:rPr>
      </w:pPr>
      <w:r>
        <w:rPr>
          <w:rFonts w:hint="eastAsia" w:ascii="黑体" w:hAnsi="黑体" w:eastAsia="黑体" w:cs="黑体"/>
        </w:rPr>
        <w:t>4.2.3</w:t>
      </w:r>
      <w:r>
        <w:rPr>
          <w:rFonts w:hint="eastAsia" w:ascii="宋体" w:hAnsi="宋体"/>
        </w:rPr>
        <w:t xml:space="preserve">  应建立能源资源消费统计、定额管理、节电、节气、节油、节水、垃圾分类、资源循环利用、反食品浪费、 绿色消费、公务用车管理、用能设备设施节能操作规程等节约能源资源的管理制度，或针对重点用能区域制定实施专门的用能管理措施。</w:t>
      </w:r>
    </w:p>
    <w:p w14:paraId="32AEE799">
      <w:pPr>
        <w:widowControl/>
        <w:spacing w:line="240" w:lineRule="auto"/>
        <w:jc w:val="left"/>
        <w:rPr>
          <w:rFonts w:ascii="宋体" w:hAnsi="宋体"/>
        </w:rPr>
      </w:pPr>
      <w:r>
        <w:rPr>
          <w:rFonts w:hint="eastAsia" w:ascii="黑体" w:hAnsi="黑体" w:eastAsia="黑体" w:cs="黑体"/>
        </w:rPr>
        <w:t>4.2.4</w:t>
      </w:r>
      <w:r>
        <w:rPr>
          <w:rFonts w:hint="eastAsia" w:ascii="宋体" w:hAnsi="宋体"/>
        </w:rPr>
        <w:t xml:space="preserve">  应建立能源资源消费统计台账，定期报送、分析、公示能源资源消费情况，并将数据接入江苏省公共机构节能管理平台。</w:t>
      </w:r>
    </w:p>
    <w:p w14:paraId="00A57A39">
      <w:pPr>
        <w:widowControl/>
        <w:spacing w:line="240" w:lineRule="auto"/>
        <w:jc w:val="left"/>
        <w:rPr>
          <w:rFonts w:ascii="宋体" w:hAnsi="宋体"/>
        </w:rPr>
      </w:pPr>
      <w:r>
        <w:rPr>
          <w:rFonts w:hint="eastAsia" w:ascii="黑体" w:hAnsi="黑体" w:eastAsia="黑体" w:cs="黑体"/>
        </w:rPr>
        <w:t>4.2.5</w:t>
      </w:r>
      <w:r>
        <w:rPr>
          <w:rFonts w:hint="eastAsia" w:ascii="宋体" w:hAnsi="宋体"/>
        </w:rPr>
        <w:t xml:space="preserve">  应建设能源资源节约监管平台，建立水、电、气等能源资源消费的计量、监测、存储、报送、分析、预警等制度。</w:t>
      </w:r>
    </w:p>
    <w:p w14:paraId="20984D8E">
      <w:pPr>
        <w:widowControl/>
        <w:spacing w:line="240" w:lineRule="auto"/>
        <w:jc w:val="left"/>
        <w:rPr>
          <w:rFonts w:ascii="宋体" w:hAnsi="宋体"/>
        </w:rPr>
      </w:pPr>
      <w:r>
        <w:rPr>
          <w:rFonts w:hint="eastAsia" w:ascii="黑体" w:hAnsi="黑体" w:eastAsia="黑体" w:cs="黑体"/>
        </w:rPr>
        <w:t>4.2.6</w:t>
      </w:r>
      <w:r>
        <w:rPr>
          <w:rFonts w:hint="eastAsia" w:ascii="宋体" w:hAnsi="宋体"/>
        </w:rPr>
        <w:t xml:space="preserve">  应按照 GB/T 29149 的要求，根据用能种类、用能系统合理实行能源分单位、分类、分项计量，并建立能源资源计量器具台账。</w:t>
      </w:r>
    </w:p>
    <w:p w14:paraId="65B7AC3C">
      <w:pPr>
        <w:widowControl/>
        <w:spacing w:line="240" w:lineRule="auto"/>
        <w:jc w:val="left"/>
        <w:rPr>
          <w:rFonts w:ascii="宋体" w:hAnsi="宋体"/>
        </w:rPr>
      </w:pPr>
      <w:r>
        <w:rPr>
          <w:rFonts w:hint="eastAsia" w:ascii="黑体" w:hAnsi="黑体" w:eastAsia="黑体" w:cs="黑体"/>
        </w:rPr>
        <w:t>4.2.7</w:t>
      </w:r>
      <w:r>
        <w:rPr>
          <w:rFonts w:hint="eastAsia" w:ascii="宋体" w:hAnsi="宋体"/>
        </w:rPr>
        <w:t xml:space="preserve">  应定期组织开展能源审计，形成完整的能源审计报告，根据报告制定整改方案并组织实施。</w:t>
      </w:r>
    </w:p>
    <w:p w14:paraId="79D22AC9">
      <w:pPr>
        <w:widowControl/>
        <w:adjustRightInd/>
        <w:spacing w:before="156" w:beforeLines="50" w:after="156" w:afterLines="50" w:line="240" w:lineRule="auto"/>
        <w:jc w:val="left"/>
        <w:rPr>
          <w:rFonts w:ascii="黑体" w:hAnsi="黑体" w:eastAsia="黑体" w:cs="黑体"/>
          <w:kern w:val="0"/>
        </w:rPr>
      </w:pPr>
      <w:r>
        <w:rPr>
          <w:rFonts w:hint="eastAsia" w:ascii="黑体" w:hAnsi="黑体" w:eastAsia="黑体" w:cs="黑体"/>
          <w:kern w:val="0"/>
        </w:rPr>
        <w:t>4.</w:t>
      </w:r>
      <w:r>
        <w:rPr>
          <w:rFonts w:ascii="黑体" w:hAnsi="黑体" w:eastAsia="黑体" w:cs="黑体"/>
          <w:kern w:val="0"/>
        </w:rPr>
        <w:t>3</w:t>
      </w:r>
      <w:r>
        <w:rPr>
          <w:rFonts w:hint="eastAsia" w:ascii="黑体" w:hAnsi="黑体" w:eastAsia="黑体" w:cs="黑体"/>
          <w:kern w:val="0"/>
        </w:rPr>
        <w:t xml:space="preserve">  绿色建筑</w:t>
      </w:r>
    </w:p>
    <w:p w14:paraId="026C7330">
      <w:pPr>
        <w:pStyle w:val="56"/>
        <w:ind w:firstLine="0" w:firstLineChars="0"/>
        <w:rPr>
          <w:rFonts w:hAnsi="宋体"/>
          <w:kern w:val="2"/>
          <w:szCs w:val="21"/>
        </w:rPr>
      </w:pPr>
      <w:r>
        <w:rPr>
          <w:rFonts w:ascii="黑体" w:hAnsi="黑体" w:eastAsia="黑体" w:cs="黑体"/>
          <w:kern w:val="2"/>
          <w:szCs w:val="21"/>
        </w:rPr>
        <w:t>4</w:t>
      </w:r>
      <w:r>
        <w:rPr>
          <w:rFonts w:hint="eastAsia" w:ascii="黑体" w:hAnsi="黑体" w:eastAsia="黑体" w:cs="黑体"/>
          <w:kern w:val="2"/>
          <w:szCs w:val="21"/>
        </w:rPr>
        <w:t>.</w:t>
      </w:r>
      <w:r>
        <w:rPr>
          <w:rFonts w:ascii="黑体" w:hAnsi="黑体" w:eastAsia="黑体" w:cs="黑体"/>
          <w:kern w:val="2"/>
          <w:szCs w:val="21"/>
        </w:rPr>
        <w:t>3</w:t>
      </w:r>
      <w:r>
        <w:rPr>
          <w:rFonts w:hint="eastAsia" w:ascii="黑体" w:hAnsi="黑体" w:eastAsia="黑体" w:cs="黑体"/>
          <w:kern w:val="2"/>
          <w:szCs w:val="21"/>
        </w:rPr>
        <w:t>.1</w:t>
      </w:r>
      <w:r>
        <w:rPr>
          <w:rFonts w:hint="eastAsia"/>
        </w:rPr>
        <w:t xml:space="preserve">  </w:t>
      </w:r>
      <w:r>
        <w:rPr>
          <w:rFonts w:hint="eastAsia" w:hAnsi="宋体"/>
          <w:kern w:val="2"/>
          <w:szCs w:val="21"/>
        </w:rPr>
        <w:t>宜根据 GB/T 50378的要求开展绿色建筑创建。新建建筑执行绿色建筑一星级及以上标准，大型公共机构建筑达到绿色建筑二星级及以上标准，既有建筑宜申报星级绿色建筑标识认定，强化绿色建筑运行管理，定期开展运行指标与申报绿色建筑星级指标比对。</w:t>
      </w:r>
    </w:p>
    <w:p w14:paraId="0B20D678">
      <w:pPr>
        <w:pStyle w:val="56"/>
        <w:ind w:firstLine="0" w:firstLineChars="0"/>
        <w:rPr>
          <w:rFonts w:hAnsi="宋体"/>
          <w:kern w:val="2"/>
          <w:szCs w:val="21"/>
        </w:rPr>
      </w:pPr>
      <w:r>
        <w:rPr>
          <w:rFonts w:ascii="黑体" w:hAnsi="黑体" w:eastAsia="黑体" w:cs="黑体"/>
          <w:kern w:val="2"/>
          <w:szCs w:val="21"/>
        </w:rPr>
        <w:t>4</w:t>
      </w:r>
      <w:r>
        <w:rPr>
          <w:rFonts w:hint="eastAsia" w:ascii="黑体" w:hAnsi="黑体" w:eastAsia="黑体" w:cs="黑体"/>
          <w:kern w:val="2"/>
          <w:szCs w:val="21"/>
        </w:rPr>
        <w:t>.</w:t>
      </w:r>
      <w:r>
        <w:rPr>
          <w:rFonts w:ascii="黑体" w:hAnsi="黑体" w:eastAsia="黑体" w:cs="黑体"/>
          <w:kern w:val="2"/>
          <w:szCs w:val="21"/>
        </w:rPr>
        <w:t>3</w:t>
      </w:r>
      <w:r>
        <w:rPr>
          <w:rFonts w:hint="eastAsia" w:ascii="黑体" w:hAnsi="黑体" w:eastAsia="黑体" w:cs="黑体"/>
          <w:kern w:val="2"/>
          <w:szCs w:val="21"/>
        </w:rPr>
        <w:t>.2</w:t>
      </w:r>
      <w:r>
        <w:rPr>
          <w:rFonts w:hint="eastAsia" w:hAnsi="宋体"/>
          <w:kern w:val="2"/>
          <w:szCs w:val="21"/>
        </w:rPr>
        <w:t xml:space="preserve">  宜根据GB/T 51141的要求推进既有建筑绿色化改造。改造优先采用绿色建材和绿色设备产品，合理采用可再利用材料和可再循环材料。</w:t>
      </w:r>
    </w:p>
    <w:p w14:paraId="42E0EC39">
      <w:pPr>
        <w:pStyle w:val="56"/>
        <w:ind w:firstLine="0" w:firstLineChars="0"/>
      </w:pPr>
      <w:r>
        <w:rPr>
          <w:rFonts w:ascii="黑体" w:hAnsi="黑体" w:eastAsia="黑体" w:cs="黑体"/>
          <w:kern w:val="2"/>
          <w:szCs w:val="21"/>
        </w:rPr>
        <w:t>4</w:t>
      </w:r>
      <w:r>
        <w:rPr>
          <w:rFonts w:hint="eastAsia" w:ascii="黑体" w:hAnsi="黑体" w:eastAsia="黑体" w:cs="黑体"/>
          <w:kern w:val="2"/>
          <w:szCs w:val="21"/>
        </w:rPr>
        <w:t>.</w:t>
      </w:r>
      <w:r>
        <w:rPr>
          <w:rFonts w:ascii="黑体" w:hAnsi="黑体" w:eastAsia="黑体" w:cs="黑体"/>
          <w:kern w:val="2"/>
          <w:szCs w:val="21"/>
        </w:rPr>
        <w:t>3</w:t>
      </w:r>
      <w:r>
        <w:rPr>
          <w:rFonts w:hint="eastAsia" w:ascii="黑体" w:hAnsi="黑体" w:eastAsia="黑体" w:cs="黑体"/>
          <w:kern w:val="2"/>
          <w:szCs w:val="21"/>
        </w:rPr>
        <w:t>.3</w:t>
      </w:r>
      <w:r>
        <w:rPr>
          <w:rFonts w:hint="eastAsia"/>
        </w:rPr>
        <w:t xml:space="preserve">  在基本建设和更新改造过程中，应采用节能、节水、节材以及资源综合利用等方面的先进技术，宜使用可再生能源、非常规水资源，合理规划雨水径流途径，降低地表径流。</w:t>
      </w:r>
    </w:p>
    <w:p w14:paraId="2F83ECA2">
      <w:pPr>
        <w:pStyle w:val="56"/>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4</w:t>
      </w:r>
      <w:r>
        <w:rPr>
          <w:rFonts w:hint="eastAsia" w:ascii="黑体" w:hAnsi="黑体" w:eastAsia="黑体" w:cs="黑体"/>
          <w:szCs w:val="21"/>
        </w:rPr>
        <w:t xml:space="preserve">  绿色设施设备</w:t>
      </w:r>
    </w:p>
    <w:p w14:paraId="1F7A07E6">
      <w:pPr>
        <w:pStyle w:val="56"/>
        <w:spacing w:before="156" w:beforeLines="50" w:after="156" w:afterLines="50"/>
        <w:ind w:firstLine="0" w:firstLineChars="0"/>
        <w:rPr>
          <w:rFonts w:ascii="黑体" w:hAnsi="黑体" w:eastAsia="黑体" w:cs="黑体"/>
          <w:szCs w:val="21"/>
        </w:rPr>
      </w:pPr>
      <w:bookmarkStart w:id="46" w:name="_Hlk170306917"/>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4</w:t>
      </w:r>
      <w:r>
        <w:rPr>
          <w:rFonts w:hint="eastAsia" w:ascii="黑体" w:hAnsi="黑体" w:eastAsia="黑体" w:cs="黑体"/>
          <w:szCs w:val="21"/>
        </w:rPr>
        <w:t>.1  围护结构</w:t>
      </w:r>
    </w:p>
    <w:bookmarkEnd w:id="46"/>
    <w:p w14:paraId="1466011D">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.1.1  </w:t>
      </w:r>
      <w:r>
        <w:rPr>
          <w:rFonts w:hint="eastAsia"/>
        </w:rPr>
        <w:t>建筑围护结构热工性能应符合GB 50189的要求，并采用一定的节能措施。</w:t>
      </w:r>
    </w:p>
    <w:p w14:paraId="31033141">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.1.2  </w:t>
      </w:r>
      <w:r>
        <w:rPr>
          <w:rFonts w:hint="eastAsia"/>
        </w:rPr>
        <w:t>建筑外墙、屋面</w:t>
      </w:r>
      <w:r>
        <w:rPr>
          <w:rFonts w:hint="eastAsia" w:ascii="Times New Roman"/>
          <w:color w:val="000000"/>
        </w:rPr>
        <w:t>应</w:t>
      </w:r>
      <w:r>
        <w:rPr>
          <w:rFonts w:hint="eastAsia"/>
        </w:rPr>
        <w:t>采取保温隔热措施。</w:t>
      </w:r>
    </w:p>
    <w:p w14:paraId="61238E77">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.1.3  </w:t>
      </w:r>
      <w:r>
        <w:rPr>
          <w:rFonts w:hint="eastAsia"/>
        </w:rPr>
        <w:t>外窗</w:t>
      </w:r>
      <w:r>
        <w:rPr>
          <w:rFonts w:hint="eastAsia" w:ascii="Times New Roman"/>
          <w:color w:val="000000"/>
        </w:rPr>
        <w:t>应</w:t>
      </w:r>
      <w:r>
        <w:rPr>
          <w:rFonts w:hint="eastAsia"/>
        </w:rPr>
        <w:t>采用气密性良好的节能门窗。</w:t>
      </w:r>
    </w:p>
    <w:p w14:paraId="50AEA2EB">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.1.4  </w:t>
      </w:r>
      <w:r>
        <w:rPr>
          <w:rFonts w:hint="eastAsia"/>
        </w:rPr>
        <w:t>建筑主要功能房间外窗</w:t>
      </w:r>
      <w:r>
        <w:rPr>
          <w:rFonts w:hint="eastAsia" w:ascii="Times New Roman"/>
          <w:color w:val="000000"/>
        </w:rPr>
        <w:t>应</w:t>
      </w:r>
      <w:r>
        <w:rPr>
          <w:rFonts w:hint="eastAsia"/>
        </w:rPr>
        <w:t>采取合理外遮阳设施。</w:t>
      </w:r>
    </w:p>
    <w:p w14:paraId="6B0A89B7">
      <w:pPr>
        <w:pStyle w:val="56"/>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4</w:t>
      </w:r>
      <w:r>
        <w:rPr>
          <w:rFonts w:hint="eastAsia" w:ascii="黑体" w:hAnsi="黑体" w:eastAsia="黑体" w:cs="黑体"/>
          <w:szCs w:val="21"/>
        </w:rPr>
        <w:t>.2  暖通空调系统</w:t>
      </w:r>
    </w:p>
    <w:p w14:paraId="34D4D0C0">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.2.1 </w:t>
      </w:r>
      <w:r>
        <w:rPr>
          <w:rFonts w:hint="eastAsia"/>
        </w:rPr>
        <w:t xml:space="preserve"> 应采用合理的热源方式，配备必要的计量和室内温度调控装置，并符合下列条件：</w:t>
      </w:r>
    </w:p>
    <w:p w14:paraId="791D6837">
      <w:pPr>
        <w:pStyle w:val="56"/>
        <w:ind w:firstLine="420"/>
      </w:pPr>
      <w:r>
        <w:rPr>
          <w:rFonts w:hint="eastAsia"/>
        </w:rPr>
        <w:t>——采用燃油、燃气锅炉的，名义工况下热效率应达到国家和地区发布的最新标准，采用电热锅炉、电热水器的，应符合 GB 50189 规定的条件；</w:t>
      </w:r>
    </w:p>
    <w:p w14:paraId="14AD3E8D">
      <w:pPr>
        <w:pStyle w:val="56"/>
        <w:ind w:firstLine="420"/>
      </w:pPr>
      <w:r>
        <w:rPr>
          <w:rFonts w:hint="eastAsia"/>
        </w:rPr>
        <w:t>——自备热源配备节能调控和燃料计量装置；</w:t>
      </w:r>
    </w:p>
    <w:p w14:paraId="0FD6B077">
      <w:pPr>
        <w:pStyle w:val="56"/>
        <w:ind w:firstLine="420"/>
      </w:pPr>
      <w:r>
        <w:rPr>
          <w:rFonts w:hint="eastAsia"/>
        </w:rPr>
        <w:t>——供暖末端设置温度控制装置控制房间温度。</w:t>
      </w:r>
    </w:p>
    <w:p w14:paraId="6B67B644">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.2.2  </w:t>
      </w:r>
      <w:r>
        <w:rPr>
          <w:rFonts w:hint="eastAsia"/>
        </w:rPr>
        <w:t>应采用合理的冷源方式，配备必要的计量和末端调控装置，并符合下列条件：</w:t>
      </w:r>
    </w:p>
    <w:p w14:paraId="4E46BB43">
      <w:pPr>
        <w:pStyle w:val="56"/>
        <w:ind w:firstLine="420"/>
      </w:pPr>
      <w:r>
        <w:rPr>
          <w:rFonts w:hint="eastAsia"/>
        </w:rPr>
        <w:t>——空调冷源能效等级应符合 GB 50189 要求；</w:t>
      </w:r>
    </w:p>
    <w:p w14:paraId="77BFD055">
      <w:pPr>
        <w:pStyle w:val="56"/>
        <w:ind w:firstLine="420"/>
      </w:pPr>
      <w:r>
        <w:rPr>
          <w:rFonts w:hint="eastAsia"/>
        </w:rPr>
        <w:t>——冷源及输配系统配备负荷自动调控装置；</w:t>
      </w:r>
    </w:p>
    <w:p w14:paraId="4DC83602">
      <w:pPr>
        <w:pStyle w:val="56"/>
        <w:ind w:firstLine="420"/>
      </w:pPr>
      <w:r>
        <w:rPr>
          <w:rFonts w:hint="eastAsia"/>
        </w:rPr>
        <w:t>——主要功能房间设置温控装置控制房间温度。</w:t>
      </w:r>
    </w:p>
    <w:p w14:paraId="3819794D">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.2.3 </w:t>
      </w:r>
      <w:r>
        <w:rPr>
          <w:rFonts w:hint="eastAsia"/>
        </w:rPr>
        <w:t xml:space="preserve"> 具备实施条件的场所宜采用排风热回收装置。  </w:t>
      </w:r>
    </w:p>
    <w:p w14:paraId="34645875">
      <w:pPr>
        <w:pStyle w:val="56"/>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4</w:t>
      </w:r>
      <w:r>
        <w:rPr>
          <w:rFonts w:hint="eastAsia" w:ascii="黑体" w:hAnsi="黑体" w:eastAsia="黑体" w:cs="黑体"/>
          <w:szCs w:val="21"/>
        </w:rPr>
        <w:t>.3  给水排水</w:t>
      </w:r>
    </w:p>
    <w:p w14:paraId="3596B093">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.3.1</w:t>
      </w:r>
      <w:r>
        <w:rPr>
          <w:rFonts w:hint="eastAsia"/>
        </w:rPr>
        <w:t xml:space="preserve">  给水排水系统的节水设计应符合 GB 50189的要求。</w:t>
      </w:r>
    </w:p>
    <w:p w14:paraId="5E7A2656">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.3.2</w:t>
      </w:r>
      <w:r>
        <w:rPr>
          <w:rFonts w:hint="eastAsia"/>
        </w:rPr>
        <w:t xml:space="preserve">  应使用节水型卫生器具。</w:t>
      </w:r>
    </w:p>
    <w:p w14:paraId="79B26A14">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.3.3</w:t>
      </w:r>
      <w:r>
        <w:rPr>
          <w:rFonts w:hint="eastAsia"/>
        </w:rPr>
        <w:t xml:space="preserve">  宜采用信息化系统24小时实时监控用水量，定期对用水器具进行检修维护。</w:t>
      </w:r>
    </w:p>
    <w:p w14:paraId="5C3D7040">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.3.4</w:t>
      </w:r>
      <w:r>
        <w:rPr>
          <w:rFonts w:hint="eastAsia"/>
        </w:rPr>
        <w:t xml:space="preserve">  卫生器具和地漏应设置水封。</w:t>
      </w:r>
    </w:p>
    <w:p w14:paraId="1FCC41F6">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.3.5</w:t>
      </w:r>
      <w:r>
        <w:rPr>
          <w:rFonts w:hint="eastAsia"/>
        </w:rPr>
        <w:t xml:space="preserve">  应采用喷灌、滴灌、微灌等节水灌溉方式。</w:t>
      </w:r>
    </w:p>
    <w:p w14:paraId="46DEE9B6">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.3.6</w:t>
      </w:r>
      <w:r>
        <w:rPr>
          <w:rFonts w:hint="eastAsia"/>
        </w:rPr>
        <w:t xml:space="preserve">  停车场、道路和室外活动场地等应采用透水铺装。</w:t>
      </w:r>
    </w:p>
    <w:p w14:paraId="7A514077">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.3.7</w:t>
      </w:r>
      <w:r>
        <w:rPr>
          <w:rFonts w:hint="eastAsia"/>
        </w:rPr>
        <w:t xml:space="preserve">  宜按照实际情况建设及利用再生水利用系统、雨水集蓄设施等。</w:t>
      </w:r>
    </w:p>
    <w:p w14:paraId="30F0D9D0">
      <w:pPr>
        <w:pStyle w:val="56"/>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4</w:t>
      </w:r>
      <w:r>
        <w:rPr>
          <w:rFonts w:hint="eastAsia" w:ascii="黑体" w:hAnsi="黑体" w:eastAsia="黑体" w:cs="黑体"/>
          <w:szCs w:val="21"/>
        </w:rPr>
        <w:t>.4  照明与电气</w:t>
      </w:r>
    </w:p>
    <w:p w14:paraId="50394FC6">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.4.1</w:t>
      </w:r>
      <w:r>
        <w:rPr>
          <w:rFonts w:hint="eastAsia"/>
        </w:rPr>
        <w:t xml:space="preserve">  应采用高效节能照明光源产品，能效等级达到2级及以上。</w:t>
      </w:r>
    </w:p>
    <w:p w14:paraId="72161466">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.4.2</w:t>
      </w:r>
      <w:r>
        <w:rPr>
          <w:rFonts w:hint="eastAsia"/>
        </w:rPr>
        <w:t xml:space="preserve">  按使用条件和天然采光状况可采取下列节能措施：</w:t>
      </w:r>
    </w:p>
    <w:p w14:paraId="16A48B61">
      <w:pPr>
        <w:pStyle w:val="56"/>
        <w:ind w:firstLine="420"/>
      </w:pPr>
      <w:r>
        <w:rPr>
          <w:rFonts w:hint="eastAsia"/>
        </w:rPr>
        <w:t>——主要功能空间、地下车库照明应采用分区、分组控制；</w:t>
      </w:r>
    </w:p>
    <w:p w14:paraId="1891DD96">
      <w:pPr>
        <w:pStyle w:val="56"/>
        <w:ind w:firstLine="420"/>
      </w:pPr>
      <w:r>
        <w:rPr>
          <w:rFonts w:hint="eastAsia"/>
        </w:rPr>
        <w:t>——公共走道、楼梯间等公共区域应采用分时分区控制、声光感应控制等节能控制措施；</w:t>
      </w:r>
    </w:p>
    <w:p w14:paraId="077E2422">
      <w:pPr>
        <w:pStyle w:val="56"/>
        <w:ind w:firstLine="420"/>
      </w:pPr>
      <w:r>
        <w:rPr>
          <w:rFonts w:hint="eastAsia"/>
        </w:rPr>
        <w:t>——夜景照明应采用定时、感光等照明控制措施。</w:t>
      </w:r>
    </w:p>
    <w:p w14:paraId="49FEA16B">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.4.3</w:t>
      </w:r>
      <w:r>
        <w:rPr>
          <w:rFonts w:hint="eastAsia"/>
        </w:rPr>
        <w:t xml:space="preserve">  电梯应采用下列节能措施：</w:t>
      </w:r>
    </w:p>
    <w:p w14:paraId="108FC972">
      <w:pPr>
        <w:pStyle w:val="56"/>
        <w:ind w:firstLine="420"/>
      </w:pPr>
      <w:r>
        <w:rPr>
          <w:rFonts w:hint="eastAsia"/>
        </w:rPr>
        <w:t>——当2台及以上的电梯集中布置时，系统应具备按程序群控或集中调控功能；</w:t>
      </w:r>
    </w:p>
    <w:p w14:paraId="10AC3A05">
      <w:pPr>
        <w:pStyle w:val="56"/>
        <w:ind w:firstLine="420"/>
      </w:pPr>
      <w:r>
        <w:rPr>
          <w:rFonts w:hint="eastAsia"/>
        </w:rPr>
        <w:t>——应使用具备空载时暂停或低速运转功能的节能型扶梯。</w:t>
      </w:r>
    </w:p>
    <w:p w14:paraId="198E961E">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.4.4</w:t>
      </w:r>
      <w:r>
        <w:rPr>
          <w:rFonts w:hint="eastAsia"/>
        </w:rPr>
        <w:t xml:space="preserve">  办公电器、电热水器、水泵、风机、变压器等主要设备能效等级应达到2级及以上。</w:t>
      </w:r>
    </w:p>
    <w:p w14:paraId="79A24BDA">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.4.5</w:t>
      </w:r>
      <w:r>
        <w:rPr>
          <w:rFonts w:hint="eastAsia"/>
        </w:rPr>
        <w:t xml:space="preserve">  应采用节能炉灶、节水型洗菜机、高效油烟净化设备等节能环保餐饮设备。</w:t>
      </w:r>
    </w:p>
    <w:p w14:paraId="50C123DE">
      <w:pPr>
        <w:pStyle w:val="56"/>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4</w:t>
      </w:r>
      <w:r>
        <w:rPr>
          <w:rFonts w:hint="eastAsia" w:ascii="黑体" w:hAnsi="黑体" w:eastAsia="黑体" w:cs="黑体"/>
          <w:szCs w:val="21"/>
        </w:rPr>
        <w:t xml:space="preserve">.5  数据中心 </w:t>
      </w:r>
    </w:p>
    <w:p w14:paraId="3F37AECD">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.5.1 </w:t>
      </w:r>
      <w:r>
        <w:rPr>
          <w:rFonts w:hint="eastAsia"/>
        </w:rPr>
        <w:t xml:space="preserve"> 数据中心信息技术系统、制冷、照明和电气等应采用节能设备。</w:t>
      </w:r>
    </w:p>
    <w:p w14:paraId="4E543D89">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.5.2 </w:t>
      </w:r>
      <w:r>
        <w:rPr>
          <w:rFonts w:hint="eastAsia"/>
        </w:rPr>
        <w:t xml:space="preserve"> 数据中心应实现IT设备、空调、照明等电量分项计量，对信息设备、冷热源、输配系统和照明等各部分能耗应定期进行分项统计分析。</w:t>
      </w:r>
    </w:p>
    <w:p w14:paraId="01FECD2E">
      <w:pPr>
        <w:pStyle w:val="56"/>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4</w:t>
      </w:r>
      <w:r>
        <w:rPr>
          <w:rFonts w:hint="eastAsia" w:ascii="黑体" w:hAnsi="黑体" w:eastAsia="黑体" w:cs="黑体"/>
        </w:rPr>
        <w:t xml:space="preserve">.5.3 </w:t>
      </w:r>
      <w:r>
        <w:rPr>
          <w:rFonts w:hint="eastAsia"/>
        </w:rPr>
        <w:t xml:space="preserve"> 数据中心平均电能使用效率（PUE值）应达到1.8以下。</w:t>
      </w:r>
    </w:p>
    <w:p w14:paraId="4417D249">
      <w:pPr>
        <w:pStyle w:val="56"/>
        <w:ind w:firstLine="0" w:firstLineChars="0"/>
      </w:pPr>
    </w:p>
    <w:p w14:paraId="1A3D7312">
      <w:pPr>
        <w:pStyle w:val="56"/>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4</w:t>
      </w:r>
      <w:r>
        <w:rPr>
          <w:rFonts w:hint="eastAsia" w:ascii="黑体" w:hAnsi="黑体" w:eastAsia="黑体" w:cs="黑体"/>
          <w:szCs w:val="21"/>
        </w:rPr>
        <w:t xml:space="preserve">.6 新能源利用 </w:t>
      </w:r>
    </w:p>
    <w:p w14:paraId="23A905C9">
      <w:pPr>
        <w:pStyle w:val="236"/>
        <w:numPr>
          <w:ilvl w:val="0"/>
          <w:numId w:val="0"/>
        </w:numPr>
        <w:spacing w:before="0" w:beforeLines="0" w:after="0" w:afterLines="0"/>
        <w:rPr>
          <w:rFonts w:ascii="宋体" w:hAnsi="宋体" w:eastAsia="宋体"/>
        </w:rPr>
      </w:pPr>
      <w:r>
        <w:rPr>
          <w:rFonts w:hAnsi="黑体" w:cs="黑体"/>
        </w:rPr>
        <w:t>4</w:t>
      </w:r>
      <w:r>
        <w:rPr>
          <w:rFonts w:hint="eastAsia" w:hAnsi="黑体" w:cs="黑体"/>
        </w:rPr>
        <w:t>.</w:t>
      </w:r>
      <w:r>
        <w:rPr>
          <w:rFonts w:hAnsi="黑体" w:cs="黑体"/>
        </w:rPr>
        <w:t>4</w:t>
      </w:r>
      <w:r>
        <w:rPr>
          <w:rFonts w:hint="eastAsia" w:hAnsi="黑体" w:cs="黑体"/>
        </w:rPr>
        <w:t>.6.1</w:t>
      </w:r>
      <w:r>
        <w:rPr>
          <w:rFonts w:hint="eastAsia" w:ascii="宋体" w:hAnsi="宋体" w:eastAsia="宋体"/>
        </w:rPr>
        <w:t xml:space="preserve">  应开发应用太阳能、风能、地热能、生物质能、潮汐能等新能源和可再生能源，以清洁用能替代燃煤、燃油、燃气等传统化石能源。</w:t>
      </w:r>
    </w:p>
    <w:p w14:paraId="320AA787">
      <w:pPr>
        <w:pStyle w:val="236"/>
        <w:numPr>
          <w:ilvl w:val="0"/>
          <w:numId w:val="0"/>
        </w:numPr>
        <w:spacing w:before="0" w:beforeLines="0" w:after="0" w:afterLines="0"/>
        <w:rPr>
          <w:rFonts w:ascii="宋体" w:hAnsi="宋体" w:eastAsia="宋体"/>
        </w:rPr>
      </w:pPr>
      <w:r>
        <w:rPr>
          <w:rFonts w:hAnsi="黑体" w:cs="黑体"/>
        </w:rPr>
        <w:t>4</w:t>
      </w:r>
      <w:r>
        <w:rPr>
          <w:rFonts w:hint="eastAsia" w:hAnsi="黑体" w:cs="黑体"/>
        </w:rPr>
        <w:t>.</w:t>
      </w:r>
      <w:r>
        <w:rPr>
          <w:rFonts w:hAnsi="黑体" w:cs="黑体"/>
        </w:rPr>
        <w:t>4</w:t>
      </w:r>
      <w:r>
        <w:rPr>
          <w:rFonts w:hint="eastAsia" w:hAnsi="黑体" w:cs="黑体"/>
        </w:rPr>
        <w:t>.6.2</w:t>
      </w:r>
      <w:r>
        <w:rPr>
          <w:rFonts w:hint="eastAsia" w:ascii="宋体" w:hAnsi="宋体" w:eastAsia="宋体"/>
        </w:rPr>
        <w:t xml:space="preserve">  符合条件的绿色办公区应建设屋顶分布式光伏。</w:t>
      </w:r>
    </w:p>
    <w:p w14:paraId="1542451B">
      <w:pPr>
        <w:pStyle w:val="236"/>
        <w:numPr>
          <w:ilvl w:val="0"/>
          <w:numId w:val="0"/>
        </w:numPr>
        <w:spacing w:before="0" w:beforeLines="0" w:after="0" w:afterLines="0"/>
      </w:pPr>
      <w:r>
        <w:rPr>
          <w:rFonts w:hAnsi="黑体" w:cs="黑体"/>
        </w:rPr>
        <w:t>4</w:t>
      </w:r>
      <w:r>
        <w:rPr>
          <w:rFonts w:hint="eastAsia" w:hAnsi="黑体" w:cs="黑体"/>
        </w:rPr>
        <w:t>.</w:t>
      </w:r>
      <w:r>
        <w:rPr>
          <w:rFonts w:hAnsi="黑体" w:cs="黑体"/>
        </w:rPr>
        <w:t>4</w:t>
      </w:r>
      <w:r>
        <w:rPr>
          <w:rFonts w:hint="eastAsia" w:hAnsi="黑体" w:cs="黑体"/>
        </w:rPr>
        <w:t>.6.3</w:t>
      </w:r>
      <w:r>
        <w:rPr>
          <w:rFonts w:hint="eastAsia" w:ascii="宋体" w:hAnsi="宋体" w:eastAsia="宋体"/>
        </w:rPr>
        <w:t xml:space="preserve">  应建设新能源充电桩，宜建设结合光、储、充、放功能的一体化新能源充电站。</w:t>
      </w:r>
    </w:p>
    <w:p w14:paraId="151016BB">
      <w:pPr>
        <w:pStyle w:val="231"/>
        <w:spacing w:before="156" w:beforeLines="50" w:after="156" w:afterLines="50"/>
        <w:ind w:firstLine="0" w:firstLineChars="0"/>
        <w:outlineLvl w:val="0"/>
      </w:pPr>
      <w:bookmarkStart w:id="47" w:name="_Toc11473"/>
      <w:r>
        <w:rPr>
          <w:rFonts w:ascii="黑体" w:hAnsi="黑体" w:eastAsia="黑体" w:cs="黑体"/>
          <w:szCs w:val="21"/>
        </w:rPr>
        <w:t>4.5</w:t>
      </w:r>
      <w:r>
        <w:rPr>
          <w:rFonts w:hint="eastAsia" w:ascii="黑体" w:hAnsi="黑体" w:eastAsia="黑体" w:cs="黑体"/>
          <w:szCs w:val="21"/>
        </w:rPr>
        <w:t xml:space="preserve">  绿色环境</w:t>
      </w:r>
      <w:bookmarkEnd w:id="47"/>
    </w:p>
    <w:p w14:paraId="6761DAC8">
      <w:pPr>
        <w:pStyle w:val="231"/>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5.</w:t>
      </w:r>
      <w:r>
        <w:rPr>
          <w:rFonts w:hint="eastAsia" w:ascii="黑体" w:hAnsi="黑体" w:eastAsia="黑体" w:cs="黑体"/>
          <w:szCs w:val="21"/>
        </w:rPr>
        <w:t>1  采光</w:t>
      </w:r>
    </w:p>
    <w:p w14:paraId="2302553D">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1.1</w:t>
      </w:r>
      <w:r>
        <w:rPr>
          <w:rFonts w:hint="eastAsia"/>
        </w:rPr>
        <w:t xml:space="preserve">  主要功能空间室内照度、照度均匀度、光源显色性能、统一眩光值等指标应满足GB 50034的相关要求。 </w:t>
      </w:r>
    </w:p>
    <w:p w14:paraId="0288C5C2">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 xml:space="preserve">1.2 </w:t>
      </w:r>
      <w:r>
        <w:rPr>
          <w:rFonts w:hint="eastAsia"/>
        </w:rPr>
        <w:t xml:space="preserve"> 应采用合理措施改善地下空间天然采光效果。</w:t>
      </w:r>
    </w:p>
    <w:p w14:paraId="7397A088">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1.3</w:t>
      </w:r>
      <w:r>
        <w:rPr>
          <w:rFonts w:hint="eastAsia"/>
        </w:rPr>
        <w:t xml:space="preserve">  应充分利用自然采光保障室内照度，结合办公使用需求和自然采光状况调控照明时间。</w:t>
      </w:r>
    </w:p>
    <w:p w14:paraId="58DA45E7">
      <w:pPr>
        <w:pStyle w:val="231"/>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5.</w:t>
      </w:r>
      <w:r>
        <w:rPr>
          <w:rFonts w:hint="eastAsia" w:ascii="黑体" w:hAnsi="黑体" w:eastAsia="黑体" w:cs="黑体"/>
          <w:szCs w:val="21"/>
        </w:rPr>
        <w:t>2  空气</w:t>
      </w:r>
    </w:p>
    <w:p w14:paraId="3BC61A40">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2.1</w:t>
      </w:r>
      <w:r>
        <w:rPr>
          <w:rFonts w:hint="eastAsia"/>
        </w:rPr>
        <w:t xml:space="preserve">  采用的装饰装修材料应有绿色建材认定证书。</w:t>
      </w:r>
    </w:p>
    <w:p w14:paraId="1B938D63">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2.2</w:t>
      </w:r>
      <w:r>
        <w:rPr>
          <w:rFonts w:hint="eastAsia"/>
        </w:rPr>
        <w:t xml:space="preserve">  建筑主要功能房间宜设置空气质量监控系统，有新风需求的房间宜设置新风系统。</w:t>
      </w:r>
    </w:p>
    <w:p w14:paraId="103A5EBC">
      <w:pPr>
        <w:pStyle w:val="231"/>
        <w:ind w:firstLine="0" w:firstLineChars="0"/>
      </w:pPr>
      <w:r>
        <w:rPr>
          <w:rFonts w:ascii="黑体" w:hAnsi="黑体" w:eastAsia="黑体" w:cs="黑体"/>
        </w:rPr>
        <w:t>4</w:t>
      </w:r>
      <w:r>
        <w:rPr>
          <w:rFonts w:hint="eastAsia" w:ascii="黑体" w:hAnsi="黑体" w:eastAsia="黑体" w:cs="黑体"/>
        </w:rPr>
        <w:t>.5</w:t>
      </w:r>
      <w:r>
        <w:rPr>
          <w:rFonts w:ascii="黑体" w:hAnsi="黑体" w:eastAsia="黑体" w:cs="黑体"/>
        </w:rPr>
        <w:t>.</w:t>
      </w:r>
      <w:r>
        <w:rPr>
          <w:rFonts w:hint="eastAsia" w:ascii="黑体" w:hAnsi="黑体" w:eastAsia="黑体" w:cs="黑体"/>
        </w:rPr>
        <w:t>2.3</w:t>
      </w:r>
      <w:r>
        <w:rPr>
          <w:rFonts w:hint="eastAsia"/>
        </w:rPr>
        <w:t xml:space="preserve">  应采取控烟措施，创建无烟单位。</w:t>
      </w:r>
    </w:p>
    <w:p w14:paraId="4A56F931">
      <w:pPr>
        <w:pStyle w:val="231"/>
        <w:spacing w:before="156" w:beforeLines="50" w:after="156" w:afterLines="50"/>
        <w:ind w:firstLine="0" w:firstLineChars="0"/>
        <w:rPr>
          <w:rFonts w:ascii="黑体" w:hAnsi="黑体" w:eastAsia="黑体" w:cs="黑体"/>
          <w:szCs w:val="21"/>
        </w:rPr>
      </w:pPr>
      <w:r>
        <w:rPr>
          <w:rFonts w:ascii="黑体" w:hAnsi="黑体" w:eastAsia="黑体" w:cs="黑体"/>
          <w:szCs w:val="21"/>
        </w:rPr>
        <w:t>4</w:t>
      </w:r>
      <w:r>
        <w:rPr>
          <w:rFonts w:hint="eastAsia" w:ascii="黑体" w:hAnsi="黑体" w:eastAsia="黑体" w:cs="黑体"/>
          <w:szCs w:val="21"/>
        </w:rPr>
        <w:t>.</w:t>
      </w:r>
      <w:r>
        <w:rPr>
          <w:rFonts w:ascii="黑体" w:hAnsi="黑体" w:eastAsia="黑体" w:cs="黑体"/>
          <w:szCs w:val="21"/>
        </w:rPr>
        <w:t>5.</w:t>
      </w:r>
      <w:r>
        <w:rPr>
          <w:rFonts w:hint="eastAsia" w:ascii="黑体" w:hAnsi="黑体" w:eastAsia="黑体" w:cs="黑体"/>
          <w:szCs w:val="21"/>
        </w:rPr>
        <w:t>3  噪音</w:t>
      </w:r>
    </w:p>
    <w:p w14:paraId="724F1D45">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w:t>
      </w:r>
      <w:r>
        <w:rPr>
          <w:rFonts w:ascii="黑体" w:hAnsi="黑体" w:eastAsia="黑体" w:cs="黑体"/>
        </w:rPr>
        <w:t>3.</w:t>
      </w:r>
      <w:r>
        <w:rPr>
          <w:rFonts w:hint="eastAsia" w:ascii="黑体" w:hAnsi="黑体" w:eastAsia="黑体" w:cs="黑体"/>
        </w:rPr>
        <w:t>1</w:t>
      </w:r>
      <w:r>
        <w:rPr>
          <w:rFonts w:hint="eastAsia"/>
        </w:rPr>
        <w:t xml:space="preserve">  办公建筑外墙、隔板、楼板、门窗等结构隔音性能应符合GB 50118的低限标准。</w:t>
      </w:r>
    </w:p>
    <w:p w14:paraId="0B5AD687">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3.2</w:t>
      </w:r>
      <w:r>
        <w:rPr>
          <w:rFonts w:hint="eastAsia"/>
        </w:rPr>
        <w:t xml:space="preserve">  建筑内部功能空间应布局合理，减少相邻空间的噪声干扰以及外界噪声对室内的影响，并采取合理措施控制设备的噪声和振动。</w:t>
      </w:r>
    </w:p>
    <w:p w14:paraId="033174E5">
      <w:pPr>
        <w:pStyle w:val="231"/>
        <w:ind w:firstLine="0" w:firstLineChars="0"/>
      </w:pPr>
      <w:r>
        <w:rPr>
          <w:rFonts w:ascii="黑体" w:hAnsi="黑体" w:eastAsia="黑体" w:cs="黑体"/>
        </w:rPr>
        <w:t>4</w:t>
      </w:r>
      <w:r>
        <w:rPr>
          <w:rFonts w:hint="eastAsia" w:ascii="黑体" w:hAnsi="黑体" w:eastAsia="黑体" w:cs="黑体"/>
        </w:rPr>
        <w:t>.</w:t>
      </w:r>
      <w:r>
        <w:rPr>
          <w:rFonts w:ascii="黑体" w:hAnsi="黑体" w:eastAsia="黑体" w:cs="黑体"/>
        </w:rPr>
        <w:t>5.</w:t>
      </w:r>
      <w:r>
        <w:rPr>
          <w:rFonts w:hint="eastAsia" w:ascii="黑体" w:hAnsi="黑体" w:eastAsia="黑体" w:cs="黑体"/>
        </w:rPr>
        <w:t>3.3</w:t>
      </w:r>
      <w:r>
        <w:rPr>
          <w:rFonts w:hint="eastAsia"/>
        </w:rPr>
        <w:t xml:space="preserve">  大型会议室、多功能厅、接待大厅和其他有声学要求的重要房间的各项声学设计指标应满足 </w:t>
      </w:r>
    </w:p>
    <w:p w14:paraId="44B9EF58">
      <w:pPr>
        <w:pStyle w:val="231"/>
        <w:ind w:firstLine="0" w:firstLineChars="0"/>
      </w:pPr>
      <w:r>
        <w:rPr>
          <w:rFonts w:hint="eastAsia"/>
        </w:rPr>
        <w:t>GB/T 50356的相关要求。</w:t>
      </w:r>
    </w:p>
    <w:p w14:paraId="61EF3CB9">
      <w:pPr>
        <w:pStyle w:val="104"/>
        <w:numPr>
          <w:ilvl w:val="1"/>
          <w:numId w:val="0"/>
        </w:numPr>
        <w:spacing w:before="312" w:after="312"/>
        <w:rPr>
          <w:color w:val="000000" w:themeColor="text1"/>
          <w14:textFill>
            <w14:solidFill>
              <w14:schemeClr w14:val="tx1"/>
            </w14:solidFill>
          </w14:textFill>
        </w:rPr>
      </w:pPr>
      <w:bookmarkStart w:id="48" w:name="_Toc4860"/>
      <w:r>
        <w:rPr>
          <w:color w:val="000000" w:themeColor="text1"/>
          <w14:textFill>
            <w14:solidFill>
              <w14:schemeClr w14:val="tx1"/>
            </w14:solidFill>
          </w14:textFill>
        </w:rPr>
        <w:t>5</w:t>
      </w:r>
      <w:r>
        <w:rPr>
          <w:rFonts w:hint="eastAsia"/>
          <w:color w:val="000000" w:themeColor="text1"/>
          <w14:textFill>
            <w14:solidFill>
              <w14:schemeClr w14:val="tx1"/>
            </w14:solidFill>
          </w14:textFill>
        </w:rPr>
        <w:t xml:space="preserve"> 运行管理</w:t>
      </w:r>
      <w:bookmarkEnd w:id="48"/>
    </w:p>
    <w:p w14:paraId="4E7B4594">
      <w:pPr>
        <w:pStyle w:val="235"/>
        <w:numPr>
          <w:ilvl w:val="0"/>
          <w:numId w:val="0"/>
        </w:numPr>
        <w:spacing w:before="156" w:after="156"/>
      </w:pPr>
      <w:r>
        <w:t>5</w:t>
      </w:r>
      <w:r>
        <w:rPr>
          <w:rFonts w:hint="eastAsia"/>
        </w:rPr>
        <w:t>.1  目标要求</w:t>
      </w:r>
    </w:p>
    <w:p w14:paraId="1860F948">
      <w:pPr>
        <w:pStyle w:val="231"/>
        <w:rPr>
          <w:rFonts w:hAnsi="宋体"/>
          <w:szCs w:val="21"/>
        </w:rPr>
      </w:pPr>
      <w:r>
        <w:rPr>
          <w:rFonts w:hint="eastAsia" w:hAnsi="宋体"/>
          <w:szCs w:val="21"/>
        </w:rPr>
        <w:t>绿色办公区节能运行管理应符合GB/T 36710的规定，</w:t>
      </w:r>
      <w:r>
        <w:rPr>
          <w:rFonts w:hint="eastAsia" w:hAnsi="宋体"/>
          <w:kern w:val="2"/>
          <w:szCs w:val="21"/>
        </w:rPr>
        <w:t>绿色办公区内单位建筑面积能耗、人均建筑能耗，不应大于</w:t>
      </w:r>
      <w:r>
        <w:rPr>
          <w:rFonts w:hAnsi="宋体"/>
          <w:kern w:val="2"/>
          <w:szCs w:val="21"/>
        </w:rPr>
        <w:t>DB32</w:t>
      </w:r>
      <w:r>
        <w:rPr>
          <w:rFonts w:hint="eastAsia" w:hAnsi="宋体"/>
          <w:kern w:val="2"/>
          <w:szCs w:val="21"/>
        </w:rPr>
        <w:t>/</w:t>
      </w:r>
      <w:r>
        <w:rPr>
          <w:rFonts w:hAnsi="宋体"/>
          <w:kern w:val="2"/>
          <w:szCs w:val="21"/>
        </w:rPr>
        <w:t>T 4001</w:t>
      </w:r>
      <w:r>
        <w:rPr>
          <w:rFonts w:hint="eastAsia" w:hAnsi="宋体"/>
          <w:kern w:val="2"/>
          <w:szCs w:val="21"/>
        </w:rPr>
        <w:t xml:space="preserve"> 约束值的要求，人均水资源消费等量化指标，不应大于《江苏省服务业和生活用水定额》标准要求。</w:t>
      </w:r>
    </w:p>
    <w:p w14:paraId="09604E18">
      <w:pPr>
        <w:pStyle w:val="235"/>
        <w:numPr>
          <w:ilvl w:val="0"/>
          <w:numId w:val="0"/>
        </w:numPr>
        <w:spacing w:before="156" w:after="156"/>
      </w:pPr>
      <w:r>
        <w:t>5</w:t>
      </w:r>
      <w:r>
        <w:rPr>
          <w:rFonts w:hint="eastAsia"/>
        </w:rPr>
        <w:t>.2  采购</w:t>
      </w:r>
    </w:p>
    <w:p w14:paraId="541D5606">
      <w:pPr>
        <w:pStyle w:val="236"/>
        <w:numPr>
          <w:ilvl w:val="0"/>
          <w:numId w:val="0"/>
        </w:numPr>
        <w:spacing w:before="0" w:beforeLines="0" w:after="0" w:afterLines="0"/>
        <w:rPr>
          <w:rFonts w:ascii="宋体" w:hAnsi="宋体" w:eastAsia="宋体"/>
        </w:rPr>
      </w:pPr>
      <w:r>
        <w:t>5</w:t>
      </w:r>
      <w:r>
        <w:rPr>
          <w:rFonts w:hint="eastAsia"/>
        </w:rPr>
        <w:t xml:space="preserve">.2.1 </w:t>
      </w:r>
      <w:r>
        <w:rPr>
          <w:rFonts w:hint="eastAsia" w:ascii="宋体" w:hAnsi="宋体" w:eastAsia="宋体"/>
        </w:rPr>
        <w:t xml:space="preserve"> 应执行节能环保产品强制采购制度，优先采购列入节能产品、设备政府采购名录和环境标志产品政府采购名录中的产品、设备。</w:t>
      </w:r>
    </w:p>
    <w:p w14:paraId="7F3635FF">
      <w:pPr>
        <w:pStyle w:val="236"/>
        <w:numPr>
          <w:ilvl w:val="0"/>
          <w:numId w:val="0"/>
        </w:numPr>
        <w:spacing w:before="0" w:beforeLines="0" w:after="0" w:afterLines="0"/>
        <w:rPr>
          <w:rFonts w:ascii="宋体" w:hAnsi="宋体" w:eastAsia="宋体"/>
        </w:rPr>
      </w:pPr>
      <w:r>
        <w:t>5</w:t>
      </w:r>
      <w:r>
        <w:rPr>
          <w:rFonts w:hint="eastAsia"/>
        </w:rPr>
        <w:t>.2.2</w:t>
      </w:r>
      <w:r>
        <w:rPr>
          <w:rFonts w:hint="eastAsia" w:ascii="宋体" w:hAnsi="宋体" w:eastAsia="宋体"/>
        </w:rPr>
        <w:t xml:space="preserve">  应淘汰高能耗办公设施设备，推广使用高效节能型新产品、新技术。</w:t>
      </w:r>
    </w:p>
    <w:p w14:paraId="188BB7A6">
      <w:pPr>
        <w:pStyle w:val="235"/>
        <w:numPr>
          <w:ilvl w:val="0"/>
          <w:numId w:val="0"/>
        </w:numPr>
        <w:spacing w:before="156" w:after="156"/>
      </w:pPr>
      <w:r>
        <w:t>5</w:t>
      </w:r>
      <w:r>
        <w:rPr>
          <w:rFonts w:hint="eastAsia"/>
        </w:rPr>
        <w:t>.3  固定资产</w:t>
      </w:r>
    </w:p>
    <w:p w14:paraId="344036AB">
      <w:pPr>
        <w:widowControl/>
        <w:autoSpaceDE w:val="0"/>
        <w:autoSpaceDN w:val="0"/>
        <w:adjustRightInd/>
        <w:spacing w:before="156" w:beforeLines="50" w:after="156" w:afterLines="50" w:line="240" w:lineRule="auto"/>
        <w:rPr>
          <w:rFonts w:hint="eastAsia" w:ascii="黑体" w:hAnsi="黑体" w:eastAsia="黑体" w:cs="黑体"/>
          <w:kern w:val="0"/>
        </w:rPr>
      </w:pPr>
      <w:r>
        <w:rPr>
          <w:rFonts w:ascii="黑体" w:hAnsi="黑体" w:eastAsia="黑体" w:cs="黑体"/>
          <w:kern w:val="0"/>
        </w:rPr>
        <w:t>5</w:t>
      </w:r>
      <w:r>
        <w:rPr>
          <w:rFonts w:hint="eastAsia" w:ascii="黑体" w:hAnsi="黑体" w:eastAsia="黑体" w:cs="黑体"/>
          <w:kern w:val="0"/>
        </w:rPr>
        <w:t>.</w:t>
      </w:r>
      <w:r>
        <w:rPr>
          <w:rFonts w:ascii="黑体" w:hAnsi="黑体" w:eastAsia="黑体" w:cs="黑体"/>
          <w:kern w:val="0"/>
        </w:rPr>
        <w:t>3</w:t>
      </w:r>
      <w:r>
        <w:rPr>
          <w:rFonts w:hint="eastAsia" w:ascii="黑体" w:hAnsi="黑体" w:eastAsia="黑体" w:cs="黑体"/>
          <w:kern w:val="0"/>
        </w:rPr>
        <w:t>.1  用房</w:t>
      </w:r>
    </w:p>
    <w:p w14:paraId="1C683979">
      <w:pPr>
        <w:pStyle w:val="236"/>
        <w:numPr>
          <w:ilvl w:val="0"/>
          <w:numId w:val="0"/>
        </w:numPr>
        <w:spacing w:before="0" w:beforeLines="0" w:after="0" w:afterLines="0"/>
        <w:rPr>
          <w:rFonts w:ascii="宋体" w:hAnsi="宋体" w:eastAsia="宋体"/>
        </w:rPr>
      </w:pPr>
      <w:r>
        <w:t>5</w:t>
      </w:r>
      <w:r>
        <w:rPr>
          <w:rFonts w:hint="eastAsia"/>
        </w:rPr>
        <w:t>.3.1</w:t>
      </w:r>
      <w:r>
        <w:t>.1</w:t>
      </w:r>
      <w:r>
        <w:rPr>
          <w:rFonts w:hint="eastAsia" w:ascii="宋体" w:hAnsi="宋体" w:eastAsia="宋体"/>
        </w:rPr>
        <w:t xml:space="preserve">  办公用房使用应符合《江苏省党政机关办公用房管理办法》的规定。</w:t>
      </w:r>
    </w:p>
    <w:p w14:paraId="43C72FD5">
      <w:pPr>
        <w:pStyle w:val="236"/>
        <w:numPr>
          <w:ilvl w:val="0"/>
          <w:numId w:val="0"/>
        </w:numPr>
        <w:spacing w:before="0" w:beforeLines="0" w:after="0" w:afterLines="0"/>
        <w:rPr>
          <w:rFonts w:ascii="宋体" w:hAnsi="宋体" w:eastAsia="宋体"/>
        </w:rPr>
      </w:pPr>
      <w:r>
        <w:t>5</w:t>
      </w:r>
      <w:r>
        <w:rPr>
          <w:rFonts w:hint="eastAsia"/>
        </w:rPr>
        <w:t>.3.2</w:t>
      </w:r>
      <w:r>
        <w:t>.1</w:t>
      </w:r>
      <w:r>
        <w:rPr>
          <w:rFonts w:hint="eastAsia" w:ascii="宋体" w:hAnsi="宋体" w:eastAsia="宋体"/>
        </w:rPr>
        <w:t xml:space="preserve">  应规范集约使用办公用房和土地，合理利用地上、地下空间资源，统筹调剂余缺。</w:t>
      </w:r>
    </w:p>
    <w:p w14:paraId="7A6AF853">
      <w:pPr>
        <w:pStyle w:val="236"/>
        <w:numPr>
          <w:ilvl w:val="2"/>
          <w:numId w:val="0"/>
        </w:numPr>
        <w:spacing w:before="0" w:beforeLines="0" w:after="0" w:afterLines="0"/>
        <w:rPr>
          <w:rFonts w:ascii="宋体" w:hAnsi="宋体" w:eastAsia="宋体"/>
        </w:rPr>
      </w:pPr>
      <w:r>
        <w:t>5</w:t>
      </w:r>
      <w:r>
        <w:rPr>
          <w:rFonts w:hint="eastAsia"/>
        </w:rPr>
        <w:t>.3.3</w:t>
      </w:r>
      <w:r>
        <w:t>.1</w:t>
      </w:r>
      <w:r>
        <w:rPr>
          <w:rFonts w:hint="eastAsia" w:ascii="宋体" w:hAnsi="宋体" w:eastAsia="宋体"/>
        </w:rPr>
        <w:t xml:space="preserve">  宜建立公物仓，通过资产调剂平台提高资产使用效率。</w:t>
      </w:r>
    </w:p>
    <w:p w14:paraId="5F4D98A3">
      <w:pPr>
        <w:pStyle w:val="235"/>
        <w:numPr>
          <w:ilvl w:val="0"/>
          <w:numId w:val="0"/>
        </w:numPr>
        <w:spacing w:before="156" w:after="156"/>
      </w:pPr>
      <w:r>
        <w:t>5.3.2</w:t>
      </w:r>
      <w:r>
        <w:rPr>
          <w:rFonts w:hint="eastAsia"/>
        </w:rPr>
        <w:t xml:space="preserve">  用车</w:t>
      </w:r>
    </w:p>
    <w:p w14:paraId="61206EE2">
      <w:pPr>
        <w:pStyle w:val="236"/>
        <w:numPr>
          <w:ilvl w:val="0"/>
          <w:numId w:val="0"/>
        </w:numPr>
        <w:spacing w:before="0" w:beforeLines="0" w:after="0" w:afterLines="0"/>
        <w:rPr>
          <w:rFonts w:ascii="宋体" w:hAnsi="宋体" w:eastAsia="宋体"/>
        </w:rPr>
      </w:pPr>
      <w:r>
        <w:t>5</w:t>
      </w:r>
      <w:r>
        <w:rPr>
          <w:rFonts w:hint="eastAsia"/>
        </w:rPr>
        <w:t>.</w:t>
      </w:r>
      <w:r>
        <w:t>3</w:t>
      </w:r>
      <w:r>
        <w:rPr>
          <w:rFonts w:hint="eastAsia"/>
        </w:rPr>
        <w:t>.</w:t>
      </w:r>
      <w:r>
        <w:t>2.1</w:t>
      </w:r>
      <w:r>
        <w:rPr>
          <w:rFonts w:hint="eastAsia"/>
        </w:rPr>
        <w:t xml:space="preserve">  </w:t>
      </w:r>
      <w:r>
        <w:rPr>
          <w:rFonts w:hint="eastAsia" w:ascii="宋体" w:hAnsi="宋体" w:eastAsia="宋体"/>
        </w:rPr>
        <w:t>应推广使用新能源公务用车，推进新能源汽车以租代购、分时租赁等项目。</w:t>
      </w:r>
    </w:p>
    <w:p w14:paraId="002BB528">
      <w:pPr>
        <w:pStyle w:val="231"/>
        <w:ind w:firstLine="0" w:firstLineChars="0"/>
        <w:rPr>
          <w:szCs w:val="21"/>
        </w:rPr>
      </w:pPr>
      <w:r>
        <w:rPr>
          <w:rFonts w:ascii="黑体" w:eastAsia="黑体"/>
          <w:szCs w:val="21"/>
        </w:rPr>
        <w:t>5</w:t>
      </w:r>
      <w:r>
        <w:rPr>
          <w:rFonts w:hint="eastAsia" w:ascii="黑体" w:eastAsia="黑体"/>
          <w:szCs w:val="21"/>
        </w:rPr>
        <w:t>.</w:t>
      </w:r>
      <w:r>
        <w:rPr>
          <w:rFonts w:ascii="黑体" w:eastAsia="黑体"/>
          <w:szCs w:val="21"/>
        </w:rPr>
        <w:t>3</w:t>
      </w:r>
      <w:r>
        <w:rPr>
          <w:rFonts w:hint="eastAsia" w:ascii="黑体" w:eastAsia="黑体"/>
          <w:szCs w:val="21"/>
        </w:rPr>
        <w:t>.2</w:t>
      </w:r>
      <w:r>
        <w:rPr>
          <w:rFonts w:ascii="黑体" w:eastAsia="黑体"/>
          <w:szCs w:val="21"/>
        </w:rPr>
        <w:t>.2</w:t>
      </w:r>
      <w:r>
        <w:rPr>
          <w:rFonts w:hint="eastAsia" w:ascii="黑体" w:eastAsia="黑体"/>
          <w:szCs w:val="21"/>
        </w:rPr>
        <w:t xml:space="preserve"> </w:t>
      </w:r>
      <w:r>
        <w:rPr>
          <w:rFonts w:hint="eastAsia"/>
          <w:szCs w:val="21"/>
        </w:rPr>
        <w:t xml:space="preserve"> 公务用车</w:t>
      </w:r>
      <w:r>
        <w:rPr>
          <w:rFonts w:hint="eastAsia" w:hAnsi="宋体"/>
          <w:szCs w:val="21"/>
        </w:rPr>
        <w:t>应</w:t>
      </w:r>
      <w:r>
        <w:rPr>
          <w:rFonts w:hint="eastAsia"/>
          <w:szCs w:val="21"/>
        </w:rPr>
        <w:t>实行</w:t>
      </w:r>
      <w:r>
        <w:rPr>
          <w:rFonts w:hint="eastAsia" w:hAnsi="宋体"/>
          <w:szCs w:val="21"/>
        </w:rPr>
        <w:t>单车</w:t>
      </w:r>
      <w:r>
        <w:rPr>
          <w:rFonts w:hint="eastAsia"/>
          <w:szCs w:val="21"/>
        </w:rPr>
        <w:t>能耗</w:t>
      </w:r>
      <w:r>
        <w:rPr>
          <w:rFonts w:hint="eastAsia" w:hAnsi="宋体"/>
          <w:szCs w:val="21"/>
        </w:rPr>
        <w:t>核算管理</w:t>
      </w:r>
      <w:r>
        <w:rPr>
          <w:rFonts w:hint="eastAsia"/>
          <w:szCs w:val="21"/>
        </w:rPr>
        <w:t>。</w:t>
      </w:r>
    </w:p>
    <w:p w14:paraId="3BCBD268">
      <w:pPr>
        <w:pStyle w:val="231"/>
        <w:ind w:firstLine="0" w:firstLineChars="0"/>
        <w:rPr>
          <w:szCs w:val="21"/>
        </w:rPr>
      </w:pPr>
      <w:r>
        <w:rPr>
          <w:rFonts w:ascii="黑体" w:eastAsia="黑体"/>
          <w:szCs w:val="21"/>
        </w:rPr>
        <w:t>5</w:t>
      </w:r>
      <w:r>
        <w:rPr>
          <w:rFonts w:hint="eastAsia" w:ascii="黑体" w:eastAsia="黑体"/>
          <w:szCs w:val="21"/>
        </w:rPr>
        <w:t>.</w:t>
      </w:r>
      <w:r>
        <w:rPr>
          <w:rFonts w:ascii="黑体" w:eastAsia="黑体"/>
          <w:szCs w:val="21"/>
        </w:rPr>
        <w:t>3</w:t>
      </w:r>
      <w:r>
        <w:rPr>
          <w:rFonts w:hint="eastAsia" w:ascii="黑体" w:eastAsia="黑体"/>
          <w:szCs w:val="21"/>
        </w:rPr>
        <w:t>.</w:t>
      </w:r>
      <w:r>
        <w:rPr>
          <w:rFonts w:ascii="黑体" w:eastAsia="黑体"/>
          <w:szCs w:val="21"/>
        </w:rPr>
        <w:t>2.3</w:t>
      </w:r>
      <w:r>
        <w:rPr>
          <w:rFonts w:hint="eastAsia" w:ascii="黑体" w:eastAsia="黑体"/>
          <w:szCs w:val="21"/>
        </w:rPr>
        <w:t xml:space="preserve"> </w:t>
      </w:r>
      <w:r>
        <w:rPr>
          <w:rFonts w:hint="eastAsia"/>
          <w:szCs w:val="21"/>
        </w:rPr>
        <w:t xml:space="preserve"> 宜</w:t>
      </w:r>
      <w:r>
        <w:rPr>
          <w:rFonts w:hAnsi="宋体" w:cs="宋体"/>
          <w:spacing w:val="-2"/>
          <w:szCs w:val="21"/>
        </w:rPr>
        <w:t>利用信息化手段，实现车辆调度、定位监控、轨迹记</w:t>
      </w:r>
      <w:r>
        <w:rPr>
          <w:rFonts w:hAnsi="宋体" w:cs="宋体"/>
          <w:spacing w:val="-3"/>
          <w:szCs w:val="21"/>
        </w:rPr>
        <w:t>录等功能</w:t>
      </w:r>
      <w:r>
        <w:rPr>
          <w:rFonts w:hint="eastAsia" w:hAnsi="宋体" w:cs="宋体"/>
          <w:spacing w:val="-3"/>
          <w:szCs w:val="21"/>
        </w:rPr>
        <w:t>。</w:t>
      </w:r>
    </w:p>
    <w:p w14:paraId="5A4D9117">
      <w:pPr>
        <w:pStyle w:val="235"/>
        <w:numPr>
          <w:ilvl w:val="0"/>
          <w:numId w:val="0"/>
        </w:numPr>
        <w:spacing w:before="156" w:after="156"/>
      </w:pPr>
      <w:r>
        <w:t>5</w:t>
      </w:r>
      <w:r>
        <w:rPr>
          <w:rFonts w:hint="eastAsia"/>
        </w:rPr>
        <w:t>.</w:t>
      </w:r>
      <w:r>
        <w:t>4</w:t>
      </w:r>
      <w:r>
        <w:rPr>
          <w:rFonts w:hint="eastAsia"/>
        </w:rPr>
        <w:t xml:space="preserve">  节能</w:t>
      </w:r>
    </w:p>
    <w:p w14:paraId="21CE3F05">
      <w:pPr>
        <w:widowControl/>
        <w:autoSpaceDE w:val="0"/>
        <w:autoSpaceDN w:val="0"/>
        <w:adjustRightInd/>
        <w:spacing w:before="156" w:beforeLines="50" w:after="156" w:afterLines="50" w:line="240" w:lineRule="auto"/>
        <w:rPr>
          <w:rFonts w:hint="eastAsia" w:ascii="黑体" w:hAnsi="黑体" w:eastAsia="黑体" w:cs="黑体"/>
          <w:kern w:val="0"/>
        </w:rPr>
      </w:pPr>
      <w:r>
        <w:rPr>
          <w:rFonts w:ascii="黑体" w:hAnsi="黑体" w:eastAsia="黑体" w:cs="黑体"/>
          <w:kern w:val="0"/>
        </w:rPr>
        <w:t>5</w:t>
      </w:r>
      <w:r>
        <w:rPr>
          <w:rFonts w:hint="eastAsia" w:ascii="黑体" w:hAnsi="黑体" w:eastAsia="黑体" w:cs="黑体"/>
          <w:kern w:val="0"/>
        </w:rPr>
        <w:t>.</w:t>
      </w:r>
      <w:r>
        <w:rPr>
          <w:rFonts w:ascii="黑体" w:hAnsi="黑体" w:eastAsia="黑体" w:cs="黑体"/>
          <w:kern w:val="0"/>
        </w:rPr>
        <w:t>4</w:t>
      </w:r>
      <w:r>
        <w:rPr>
          <w:rFonts w:hint="eastAsia" w:ascii="黑体" w:hAnsi="黑体" w:eastAsia="黑体" w:cs="黑体"/>
          <w:kern w:val="0"/>
        </w:rPr>
        <w:t>.1  用电</w:t>
      </w:r>
    </w:p>
    <w:p w14:paraId="7B1B9284">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.1</w:t>
      </w:r>
      <w:r>
        <w:t>.1</w:t>
      </w:r>
      <w:r>
        <w:rPr>
          <w:rFonts w:hint="eastAsia"/>
        </w:rPr>
        <w:t xml:space="preserve"> </w:t>
      </w:r>
      <w:r>
        <w:rPr>
          <w:rFonts w:hint="eastAsia" w:ascii="宋体" w:hAnsi="宋体" w:eastAsia="宋体"/>
        </w:rPr>
        <w:t xml:space="preserve"> 使用空调时，夏季室内温度设定应不低于26℃、冬季室内温度设定应不高于20℃；公共区域应采用分时段供热、制冷模式自动调节，室内温度适宜时宜不开空调或电扇。</w:t>
      </w:r>
    </w:p>
    <w:p w14:paraId="57EA6990">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w:t>
      </w:r>
      <w:r>
        <w:t>1.</w:t>
      </w:r>
      <w:r>
        <w:rPr>
          <w:rFonts w:hint="eastAsia"/>
        </w:rPr>
        <w:t xml:space="preserve">2  </w:t>
      </w:r>
      <w:r>
        <w:rPr>
          <w:rFonts w:hint="eastAsia" w:ascii="宋体" w:hAnsi="宋体" w:eastAsia="宋体"/>
        </w:rPr>
        <w:t>下班或长时间离开办公室时应及时关灯，做到人走灯灭。</w:t>
      </w:r>
    </w:p>
    <w:p w14:paraId="30E28766">
      <w:pPr>
        <w:pStyle w:val="236"/>
        <w:numPr>
          <w:ilvl w:val="0"/>
          <w:numId w:val="0"/>
        </w:numPr>
        <w:spacing w:before="0" w:beforeLines="0" w:after="0" w:afterLines="0"/>
        <w:outlineLvl w:val="9"/>
        <w:rPr>
          <w:rFonts w:ascii="宋体" w:hAnsi="宋体" w:eastAsia="宋体"/>
        </w:rPr>
      </w:pPr>
      <w:r>
        <w:t>5</w:t>
      </w:r>
      <w:r>
        <w:rPr>
          <w:rFonts w:hint="eastAsia"/>
        </w:rPr>
        <w:t>.</w:t>
      </w:r>
      <w:r>
        <w:t>4</w:t>
      </w:r>
      <w:r>
        <w:rPr>
          <w:rFonts w:hint="eastAsia"/>
        </w:rPr>
        <w:t>.</w:t>
      </w:r>
      <w:r>
        <w:t>1.</w:t>
      </w:r>
      <w:r>
        <w:rPr>
          <w:rFonts w:hint="eastAsia"/>
        </w:rPr>
        <w:t xml:space="preserve">3 </w:t>
      </w:r>
      <w:r>
        <w:rPr>
          <w:rFonts w:hint="eastAsia" w:ascii="宋体" w:hAnsi="宋体" w:eastAsia="宋体"/>
        </w:rPr>
        <w:t xml:space="preserve"> 应加强夜间照明管控，夜间公共区域应减少照明灯数量，关闭不必要的夜间照明；除重要节假日和重大庆祝活动外，应关闭景观照明，路灯实行间隔开放。</w:t>
      </w:r>
    </w:p>
    <w:p w14:paraId="1DA929A9">
      <w:pPr>
        <w:pStyle w:val="236"/>
        <w:numPr>
          <w:ilvl w:val="0"/>
          <w:numId w:val="0"/>
        </w:numPr>
        <w:spacing w:before="0" w:beforeLines="0" w:after="0" w:afterLines="0"/>
        <w:outlineLvl w:val="9"/>
      </w:pPr>
      <w:r>
        <w:t>5</w:t>
      </w:r>
      <w:r>
        <w:rPr>
          <w:rFonts w:hint="eastAsia"/>
        </w:rPr>
        <w:t>.</w:t>
      </w:r>
      <w:r>
        <w:t>4</w:t>
      </w:r>
      <w:r>
        <w:rPr>
          <w:rFonts w:hint="eastAsia"/>
        </w:rPr>
        <w:t>.</w:t>
      </w:r>
      <w:r>
        <w:t>1.</w:t>
      </w:r>
      <w:r>
        <w:rPr>
          <w:rFonts w:hint="eastAsia"/>
        </w:rPr>
        <w:t xml:space="preserve">4 </w:t>
      </w:r>
      <w:r>
        <w:rPr>
          <w:rFonts w:hint="eastAsia" w:ascii="宋体" w:hAnsi="宋体" w:eastAsia="宋体"/>
        </w:rPr>
        <w:t xml:space="preserve"> 计算机、打印机、复印机等办公设备不使用时应设置节能模式，节假日和非工作时间应关闭电源。</w:t>
      </w:r>
      <w:r>
        <w:rPr>
          <w:rFonts w:hint="eastAsia" w:ascii="宋体" w:hAnsi="宋体" w:eastAsia="宋体" w:cs="宋体"/>
          <w:color w:val="000000"/>
          <w:lang w:bidi="ar"/>
        </w:rPr>
        <w:t xml:space="preserve"> </w:t>
      </w:r>
    </w:p>
    <w:p w14:paraId="55A089BC">
      <w:pPr>
        <w:pStyle w:val="235"/>
        <w:numPr>
          <w:ilvl w:val="0"/>
          <w:numId w:val="0"/>
        </w:numPr>
        <w:spacing w:before="156" w:after="156"/>
      </w:pPr>
      <w:r>
        <w:t>5.4</w:t>
      </w:r>
      <w:r>
        <w:rPr>
          <w:rFonts w:hint="eastAsia"/>
        </w:rPr>
        <w:t>.</w:t>
      </w:r>
      <w:r>
        <w:t>2</w:t>
      </w:r>
      <w:r>
        <w:rPr>
          <w:rFonts w:hint="eastAsia"/>
        </w:rPr>
        <w:t xml:space="preserve">  用水</w:t>
      </w:r>
    </w:p>
    <w:p w14:paraId="47B2E13E">
      <w:pPr>
        <w:pStyle w:val="236"/>
        <w:numPr>
          <w:ilvl w:val="0"/>
          <w:numId w:val="0"/>
        </w:numPr>
        <w:spacing w:before="0" w:beforeLines="0" w:after="0" w:afterLines="0"/>
        <w:outlineLvl w:val="9"/>
      </w:pPr>
      <w:r>
        <w:t>5</w:t>
      </w:r>
      <w:r>
        <w:rPr>
          <w:rFonts w:hint="eastAsia"/>
        </w:rPr>
        <w:t>.</w:t>
      </w:r>
      <w:r>
        <w:t>4</w:t>
      </w:r>
      <w:r>
        <w:rPr>
          <w:rFonts w:hint="eastAsia"/>
        </w:rPr>
        <w:t>.</w:t>
      </w:r>
      <w:r>
        <w:t>2.</w:t>
      </w:r>
      <w:r>
        <w:rPr>
          <w:rFonts w:hint="eastAsia"/>
        </w:rPr>
        <w:t>1</w:t>
      </w:r>
      <w:r>
        <w:rPr>
          <w:rFonts w:hint="eastAsia" w:ascii="宋体" w:hAnsi="宋体" w:eastAsia="宋体"/>
        </w:rPr>
        <w:t xml:space="preserve">  节水管理应符合GB/T 37813的要求。 </w:t>
      </w:r>
      <w:r>
        <w:rPr>
          <w:rFonts w:hint="eastAsia"/>
        </w:rPr>
        <w:t xml:space="preserve"> </w:t>
      </w:r>
    </w:p>
    <w:p w14:paraId="218474F7">
      <w:pPr>
        <w:pStyle w:val="236"/>
        <w:numPr>
          <w:ilvl w:val="0"/>
          <w:numId w:val="0"/>
        </w:numPr>
        <w:spacing w:before="0" w:beforeLines="0" w:after="0" w:afterLines="0"/>
        <w:outlineLvl w:val="9"/>
        <w:rPr>
          <w:rFonts w:ascii="宋体" w:hAnsi="宋体" w:eastAsia="宋体"/>
        </w:rPr>
      </w:pPr>
      <w:r>
        <w:t>5</w:t>
      </w:r>
      <w:r>
        <w:rPr>
          <w:rFonts w:hint="eastAsia"/>
        </w:rPr>
        <w:t>.</w:t>
      </w:r>
      <w:r>
        <w:t>4</w:t>
      </w:r>
      <w:r>
        <w:rPr>
          <w:rFonts w:hint="eastAsia"/>
        </w:rPr>
        <w:t>.2</w:t>
      </w:r>
      <w:r>
        <w:t>.2</w:t>
      </w:r>
      <w:r>
        <w:rPr>
          <w:rFonts w:hint="eastAsia"/>
        </w:rPr>
        <w:t xml:space="preserve">  </w:t>
      </w:r>
      <w:r>
        <w:rPr>
          <w:rFonts w:hint="eastAsia" w:ascii="宋体" w:hAnsi="宋体" w:eastAsia="宋体"/>
        </w:rPr>
        <w:t>应定期开展水平衡测试。</w:t>
      </w:r>
    </w:p>
    <w:p w14:paraId="09ED327D">
      <w:pPr>
        <w:pStyle w:val="231"/>
        <w:ind w:firstLine="0" w:firstLineChars="0"/>
      </w:pPr>
      <w:r>
        <w:rPr>
          <w:rFonts w:ascii="黑体" w:eastAsia="黑体"/>
          <w:szCs w:val="21"/>
        </w:rPr>
        <w:t>5</w:t>
      </w:r>
      <w:r>
        <w:rPr>
          <w:rFonts w:hint="eastAsia" w:ascii="黑体" w:eastAsia="黑体"/>
          <w:szCs w:val="21"/>
        </w:rPr>
        <w:t>.</w:t>
      </w:r>
      <w:r>
        <w:rPr>
          <w:rFonts w:ascii="黑体" w:eastAsia="黑体"/>
          <w:szCs w:val="21"/>
        </w:rPr>
        <w:t>4</w:t>
      </w:r>
      <w:r>
        <w:rPr>
          <w:rFonts w:hint="eastAsia" w:ascii="黑体" w:eastAsia="黑体"/>
          <w:szCs w:val="21"/>
        </w:rPr>
        <w:t>.</w:t>
      </w:r>
      <w:r>
        <w:rPr>
          <w:rFonts w:ascii="黑体" w:eastAsia="黑体"/>
          <w:szCs w:val="21"/>
        </w:rPr>
        <w:t>2.</w:t>
      </w:r>
      <w:r>
        <w:rPr>
          <w:rFonts w:hint="eastAsia" w:ascii="黑体" w:eastAsia="黑体"/>
          <w:szCs w:val="21"/>
        </w:rPr>
        <w:t xml:space="preserve">3 </w:t>
      </w:r>
      <w:r>
        <w:rPr>
          <w:rFonts w:hint="eastAsia"/>
          <w:szCs w:val="21"/>
        </w:rPr>
        <w:t xml:space="preserve"> </w:t>
      </w:r>
      <w:r>
        <w:rPr>
          <w:rFonts w:hint="eastAsia"/>
        </w:rPr>
        <w:t>给水水池、水箱等储水设施</w:t>
      </w:r>
      <w:r>
        <w:rPr>
          <w:rFonts w:hint="eastAsia" w:hAnsi="宋体"/>
          <w:szCs w:val="21"/>
        </w:rPr>
        <w:t>应</w:t>
      </w:r>
      <w:r>
        <w:rPr>
          <w:rFonts w:hint="eastAsia"/>
        </w:rPr>
        <w:t>定期清洗消毒。</w:t>
      </w:r>
    </w:p>
    <w:p w14:paraId="29C8CCED">
      <w:pPr>
        <w:pStyle w:val="235"/>
        <w:numPr>
          <w:ilvl w:val="0"/>
          <w:numId w:val="0"/>
        </w:numPr>
        <w:spacing w:before="156" w:after="156"/>
      </w:pPr>
      <w:r>
        <w:t>5.4</w:t>
      </w:r>
      <w:r>
        <w:rPr>
          <w:rFonts w:hint="eastAsia"/>
        </w:rPr>
        <w:t>.</w:t>
      </w:r>
      <w:r>
        <w:t>3</w:t>
      </w:r>
      <w:r>
        <w:rPr>
          <w:rFonts w:hint="eastAsia"/>
        </w:rPr>
        <w:t xml:space="preserve">  办公</w:t>
      </w:r>
    </w:p>
    <w:p w14:paraId="2E9AC442">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w:t>
      </w:r>
      <w:r>
        <w:t>3.</w:t>
      </w:r>
      <w:r>
        <w:rPr>
          <w:rFonts w:hint="eastAsia"/>
        </w:rPr>
        <w:t xml:space="preserve">1 </w:t>
      </w:r>
      <w:r>
        <w:rPr>
          <w:rFonts w:hint="eastAsia" w:ascii="宋体" w:hAnsi="宋体" w:eastAsia="宋体"/>
        </w:rPr>
        <w:t xml:space="preserve"> 应</w:t>
      </w:r>
      <w:r>
        <w:rPr>
          <w:rFonts w:hint="eastAsia" w:ascii="宋体" w:hAnsi="宋体" w:eastAsia="宋体" w:cs="宋体"/>
          <w:color w:val="000000"/>
          <w:lang w:bidi="ar"/>
        </w:rPr>
        <w:t>推行使用再生纸、再生铅笔等再生办公用品</w:t>
      </w:r>
      <w:r>
        <w:rPr>
          <w:rFonts w:hint="eastAsia" w:ascii="宋体" w:hAnsi="宋体" w:eastAsia="宋体"/>
        </w:rPr>
        <w:t>。</w:t>
      </w:r>
    </w:p>
    <w:p w14:paraId="6DF960FF">
      <w:pPr>
        <w:pStyle w:val="236"/>
        <w:numPr>
          <w:ilvl w:val="0"/>
          <w:numId w:val="0"/>
        </w:numPr>
        <w:spacing w:before="0" w:beforeLines="0" w:after="0" w:afterLines="0"/>
        <w:rPr>
          <w:rFonts w:ascii="宋体" w:hAnsi="宋体" w:eastAsia="宋体" w:cs="宋体"/>
          <w:color w:val="000000"/>
          <w:lang w:bidi="ar"/>
        </w:rPr>
      </w:pPr>
      <w:r>
        <w:t>5</w:t>
      </w:r>
      <w:r>
        <w:rPr>
          <w:rFonts w:hint="eastAsia"/>
        </w:rPr>
        <w:t>.</w:t>
      </w:r>
      <w:r>
        <w:t>4</w:t>
      </w:r>
      <w:r>
        <w:rPr>
          <w:rFonts w:hint="eastAsia"/>
        </w:rPr>
        <w:t>.</w:t>
      </w:r>
      <w:r>
        <w:t>3.</w:t>
      </w:r>
      <w:r>
        <w:rPr>
          <w:rFonts w:hint="eastAsia"/>
        </w:rPr>
        <w:t xml:space="preserve">2  </w:t>
      </w:r>
      <w:r>
        <w:rPr>
          <w:rFonts w:hint="eastAsia" w:ascii="宋体" w:hAnsi="宋体" w:eastAsia="宋体"/>
        </w:rPr>
        <w:t>应</w:t>
      </w:r>
      <w:r>
        <w:rPr>
          <w:rFonts w:hint="eastAsia" w:ascii="宋体" w:hAnsi="宋体" w:eastAsia="宋体" w:cs="宋体"/>
          <w:color w:val="000000"/>
          <w:lang w:bidi="ar"/>
        </w:rPr>
        <w:t>推行双面复印、打印，控制公文、资料印制数量。</w:t>
      </w:r>
    </w:p>
    <w:p w14:paraId="1EE46285">
      <w:pPr>
        <w:pStyle w:val="236"/>
        <w:numPr>
          <w:ilvl w:val="0"/>
          <w:numId w:val="0"/>
        </w:numPr>
        <w:spacing w:before="0" w:beforeLines="0" w:after="0" w:afterLines="0"/>
        <w:rPr>
          <w:rFonts w:ascii="宋体" w:hAnsi="宋体" w:eastAsia="宋体" w:cs="宋体"/>
          <w:color w:val="000000"/>
          <w:lang w:bidi="ar"/>
        </w:rPr>
      </w:pPr>
      <w:r>
        <w:t>5</w:t>
      </w:r>
      <w:r>
        <w:rPr>
          <w:rFonts w:hint="eastAsia"/>
        </w:rPr>
        <w:t>.</w:t>
      </w:r>
      <w:r>
        <w:t>4</w:t>
      </w:r>
      <w:r>
        <w:rPr>
          <w:rFonts w:hint="eastAsia"/>
        </w:rPr>
        <w:t>.3</w:t>
      </w:r>
      <w:r>
        <w:t>.3</w:t>
      </w:r>
      <w:r>
        <w:rPr>
          <w:rFonts w:hint="eastAsia" w:ascii="宋体" w:hAnsi="宋体" w:eastAsia="宋体" w:cs="宋体"/>
          <w:color w:val="000000"/>
          <w:lang w:bidi="ar"/>
        </w:rPr>
        <w:t xml:space="preserve">  </w:t>
      </w:r>
      <w:r>
        <w:rPr>
          <w:rFonts w:hint="eastAsia" w:ascii="宋体" w:hAnsi="宋体" w:eastAsia="宋体"/>
        </w:rPr>
        <w:t>应</w:t>
      </w:r>
      <w:r>
        <w:rPr>
          <w:rFonts w:hint="eastAsia" w:ascii="宋体" w:hAnsi="宋体" w:eastAsia="宋体" w:cs="宋体"/>
          <w:color w:val="000000"/>
          <w:lang w:bidi="ar"/>
        </w:rPr>
        <w:t>推行使用瓷杯或玻璃杯，禁止使用不可降解一次性塑料杯、饮料杯、超薄塑料购物袋和含塑料微粒的日化产品。</w:t>
      </w:r>
    </w:p>
    <w:p w14:paraId="5F438ABD">
      <w:pPr>
        <w:pStyle w:val="236"/>
        <w:numPr>
          <w:ilvl w:val="0"/>
          <w:numId w:val="0"/>
        </w:numPr>
        <w:spacing w:before="0" w:beforeLines="0" w:after="0" w:afterLines="0"/>
      </w:pPr>
      <w:r>
        <w:t>5</w:t>
      </w:r>
      <w:r>
        <w:rPr>
          <w:rFonts w:hint="eastAsia"/>
        </w:rPr>
        <w:t>.</w:t>
      </w:r>
      <w:r>
        <w:t>4</w:t>
      </w:r>
      <w:r>
        <w:rPr>
          <w:rFonts w:hint="eastAsia"/>
        </w:rPr>
        <w:t>.</w:t>
      </w:r>
      <w:r>
        <w:t>3.</w:t>
      </w:r>
      <w:r>
        <w:rPr>
          <w:rFonts w:hint="eastAsia"/>
        </w:rPr>
        <w:t>4</w:t>
      </w:r>
      <w:r>
        <w:rPr>
          <w:rFonts w:hint="eastAsia" w:ascii="宋体" w:hAnsi="宋体" w:eastAsia="宋体" w:cs="宋体"/>
          <w:color w:val="000000"/>
          <w:lang w:bidi="ar"/>
        </w:rPr>
        <w:t xml:space="preserve">  </w:t>
      </w:r>
      <w:r>
        <w:rPr>
          <w:rFonts w:hint="eastAsia" w:ascii="宋体" w:hAnsi="宋体" w:eastAsia="宋体"/>
        </w:rPr>
        <w:t>应</w:t>
      </w:r>
      <w:r>
        <w:rPr>
          <w:rFonts w:hint="eastAsia" w:ascii="宋体" w:hAnsi="宋体" w:eastAsia="宋体" w:cs="宋体"/>
          <w:color w:val="000000"/>
          <w:lang w:bidi="ar"/>
        </w:rPr>
        <w:t>推行无纸化办公，使用线上办公平台、办公自动化等系统。</w:t>
      </w:r>
    </w:p>
    <w:p w14:paraId="0FF8F56E">
      <w:pPr>
        <w:pStyle w:val="235"/>
        <w:numPr>
          <w:ilvl w:val="0"/>
          <w:numId w:val="0"/>
        </w:numPr>
        <w:spacing w:before="156" w:after="156"/>
      </w:pPr>
      <w:r>
        <w:t>5</w:t>
      </w:r>
      <w:r>
        <w:rPr>
          <w:rFonts w:hint="eastAsia"/>
        </w:rPr>
        <w:t>.</w:t>
      </w:r>
      <w:r>
        <w:t>4.4</w:t>
      </w:r>
      <w:r>
        <w:rPr>
          <w:rFonts w:hint="eastAsia"/>
        </w:rPr>
        <w:t xml:space="preserve">  会议</w:t>
      </w:r>
    </w:p>
    <w:p w14:paraId="2C535D1E">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w:t>
      </w:r>
      <w:r>
        <w:t>4.</w:t>
      </w:r>
      <w:r>
        <w:rPr>
          <w:rFonts w:hint="eastAsia"/>
        </w:rPr>
        <w:t xml:space="preserve">1  </w:t>
      </w:r>
      <w:r>
        <w:rPr>
          <w:rFonts w:hint="eastAsia" w:ascii="宋体" w:hAnsi="宋体" w:eastAsia="宋体"/>
        </w:rPr>
        <w:t>应推广使用远程网络视频技术，减少会议数量，压缩会议会期，控制会议规模。</w:t>
      </w:r>
    </w:p>
    <w:p w14:paraId="033A7808">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w:t>
      </w:r>
      <w:r>
        <w:t>4.</w:t>
      </w:r>
      <w:r>
        <w:rPr>
          <w:rFonts w:hint="eastAsia"/>
        </w:rPr>
        <w:t xml:space="preserve">2  </w:t>
      </w:r>
      <w:r>
        <w:rPr>
          <w:rFonts w:hint="eastAsia" w:ascii="宋体" w:hAnsi="宋体" w:eastAsia="宋体"/>
        </w:rPr>
        <w:t>应控制并减少发放纸质资料，运用多媒体等现代化办公手段开展会议研讨交流。</w:t>
      </w:r>
    </w:p>
    <w:p w14:paraId="105136E8">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w:t>
      </w:r>
      <w:r>
        <w:t>4.</w:t>
      </w:r>
      <w:r>
        <w:rPr>
          <w:rFonts w:hint="eastAsia"/>
        </w:rPr>
        <w:t xml:space="preserve">3  </w:t>
      </w:r>
      <w:r>
        <w:rPr>
          <w:rFonts w:hint="eastAsia" w:ascii="宋体" w:hAnsi="宋体" w:eastAsia="宋体"/>
        </w:rPr>
        <w:t>会议结束后应及时关闭电灯、空调、投影仪等设备。</w:t>
      </w:r>
    </w:p>
    <w:p w14:paraId="23AA374E">
      <w:pPr>
        <w:widowControl/>
        <w:adjustRightInd/>
        <w:spacing w:before="156" w:beforeLines="50" w:after="156" w:afterLines="50"/>
        <w:jc w:val="left"/>
        <w:rPr>
          <w:rFonts w:ascii="黑体" w:hAnsi="Times New Roman" w:eastAsia="黑体"/>
          <w:kern w:val="0"/>
        </w:rPr>
      </w:pPr>
      <w:r>
        <w:rPr>
          <w:rFonts w:ascii="黑体" w:hAnsi="Times New Roman" w:eastAsia="黑体"/>
          <w:kern w:val="0"/>
        </w:rPr>
        <w:t>5</w:t>
      </w:r>
      <w:r>
        <w:rPr>
          <w:rFonts w:hint="eastAsia" w:ascii="黑体" w:hAnsi="Times New Roman" w:eastAsia="黑体"/>
          <w:kern w:val="0"/>
        </w:rPr>
        <w:t>.</w:t>
      </w:r>
      <w:r>
        <w:rPr>
          <w:rFonts w:ascii="黑体" w:hAnsi="Times New Roman" w:eastAsia="黑体"/>
          <w:kern w:val="0"/>
        </w:rPr>
        <w:t>4.5</w:t>
      </w:r>
      <w:r>
        <w:rPr>
          <w:rFonts w:hint="eastAsia" w:ascii="黑体" w:hAnsi="Times New Roman" w:eastAsia="黑体"/>
          <w:kern w:val="0"/>
        </w:rPr>
        <w:t xml:space="preserve">  环境 </w:t>
      </w:r>
    </w:p>
    <w:p w14:paraId="02F6299A">
      <w:pPr>
        <w:widowControl/>
        <w:spacing w:line="240" w:lineRule="auto"/>
        <w:jc w:val="left"/>
        <w:rPr>
          <w:rFonts w:ascii="宋体" w:hAnsi="宋体" w:cs="宋体"/>
          <w:color w:val="000000"/>
          <w:kern w:val="0"/>
          <w:lang w:bidi="ar"/>
        </w:rPr>
      </w:pPr>
      <w:r>
        <w:rPr>
          <w:rFonts w:ascii="黑体" w:eastAsia="黑体"/>
          <w:kern w:val="0"/>
        </w:rPr>
        <w:t>5</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 xml:space="preserve">1 </w:t>
      </w:r>
      <w:r>
        <w:rPr>
          <w:rFonts w:hint="eastAsia" w:ascii="宋体" w:hAnsi="宋体" w:cs="宋体"/>
          <w:color w:val="000000"/>
          <w:kern w:val="0"/>
          <w:lang w:bidi="ar"/>
        </w:rPr>
        <w:t xml:space="preserve"> 绿色办公区应布局合理，空间适当。</w:t>
      </w:r>
    </w:p>
    <w:p w14:paraId="4A31AAE6">
      <w:pPr>
        <w:widowControl/>
        <w:spacing w:line="240" w:lineRule="auto"/>
        <w:jc w:val="left"/>
        <w:rPr>
          <w:rFonts w:ascii="宋体" w:hAnsi="宋体" w:cs="宋体"/>
          <w:color w:val="000000"/>
          <w:kern w:val="0"/>
          <w:lang w:bidi="ar"/>
        </w:rPr>
      </w:pPr>
      <w:r>
        <w:rPr>
          <w:rFonts w:ascii="黑体" w:eastAsia="黑体"/>
          <w:kern w:val="0"/>
        </w:rPr>
        <w:t>5</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2</w:t>
      </w:r>
      <w:r>
        <w:rPr>
          <w:rFonts w:hint="eastAsia" w:ascii="宋体" w:hAnsi="宋体" w:cs="宋体"/>
          <w:color w:val="000000"/>
          <w:kern w:val="0"/>
          <w:lang w:bidi="ar"/>
        </w:rPr>
        <w:t xml:space="preserve">  有条件的公共场所宜设置休憩交流空间。</w:t>
      </w:r>
    </w:p>
    <w:p w14:paraId="5109B5ED">
      <w:pPr>
        <w:widowControl/>
        <w:spacing w:line="240" w:lineRule="auto"/>
        <w:jc w:val="left"/>
        <w:rPr>
          <w:rFonts w:ascii="宋体" w:hAnsi="宋体" w:cs="宋体"/>
          <w:color w:val="000000"/>
          <w:kern w:val="0"/>
          <w:lang w:bidi="ar"/>
        </w:rPr>
      </w:pPr>
      <w:r>
        <w:rPr>
          <w:rFonts w:ascii="黑体" w:eastAsia="黑体"/>
          <w:kern w:val="0"/>
        </w:rPr>
        <w:t>5</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3</w:t>
      </w:r>
      <w:r>
        <w:rPr>
          <w:rFonts w:hint="eastAsia" w:ascii="宋体" w:hAnsi="宋体" w:cs="宋体"/>
          <w:color w:val="000000"/>
          <w:kern w:val="0"/>
          <w:lang w:bidi="ar"/>
        </w:rPr>
        <w:t xml:space="preserve">  办公室内宜适度摆放绿植或</w:t>
      </w:r>
      <w:r>
        <w:rPr>
          <w:rFonts w:hint="eastAsia"/>
        </w:rPr>
        <w:t>采用其他措施美化环境</w:t>
      </w:r>
      <w:r>
        <w:rPr>
          <w:rFonts w:hint="eastAsia" w:ascii="宋体" w:hAnsi="宋体" w:cs="宋体"/>
          <w:color w:val="000000"/>
          <w:kern w:val="0"/>
          <w:lang w:bidi="ar"/>
        </w:rPr>
        <w:t>。</w:t>
      </w:r>
    </w:p>
    <w:p w14:paraId="7B1EC507">
      <w:pPr>
        <w:widowControl/>
        <w:spacing w:line="240" w:lineRule="auto"/>
        <w:jc w:val="left"/>
        <w:rPr>
          <w:rFonts w:ascii="黑体" w:hAnsi="黑体" w:eastAsia="黑体" w:cs="黑体"/>
          <w:color w:val="000000"/>
          <w:kern w:val="0"/>
          <w:lang w:bidi="ar"/>
        </w:rPr>
      </w:pPr>
      <w:r>
        <w:rPr>
          <w:rFonts w:ascii="黑体" w:eastAsia="黑体"/>
          <w:kern w:val="0"/>
        </w:rPr>
        <w:t>5</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4</w:t>
      </w:r>
      <w:r>
        <w:rPr>
          <w:rFonts w:hint="eastAsia" w:ascii="宋体" w:hAnsi="宋体" w:cs="宋体"/>
          <w:color w:val="000000"/>
          <w:kern w:val="0"/>
          <w:lang w:bidi="ar"/>
        </w:rPr>
        <w:t xml:space="preserve">  物品摆放</w:t>
      </w:r>
      <w:r>
        <w:rPr>
          <w:rFonts w:hint="eastAsia" w:ascii="宋体" w:hAnsi="宋体"/>
        </w:rPr>
        <w:t>应</w:t>
      </w:r>
      <w:r>
        <w:rPr>
          <w:rFonts w:hint="eastAsia" w:ascii="宋体" w:hAnsi="宋体" w:cs="宋体"/>
          <w:color w:val="000000"/>
          <w:kern w:val="0"/>
          <w:lang w:bidi="ar"/>
        </w:rPr>
        <w:t>有序，</w:t>
      </w:r>
      <w:r>
        <w:rPr>
          <w:rFonts w:hint="eastAsia"/>
        </w:rPr>
        <w:t>及时清理废旧物品、</w:t>
      </w:r>
      <w:r>
        <w:rPr>
          <w:rFonts w:hint="eastAsia" w:ascii="宋体" w:hAnsi="宋体" w:cs="宋体"/>
          <w:color w:val="000000"/>
          <w:kern w:val="0"/>
          <w:lang w:bidi="ar"/>
        </w:rPr>
        <w:t>文件报刊。</w:t>
      </w:r>
    </w:p>
    <w:p w14:paraId="2495E2FE">
      <w:pPr>
        <w:widowControl/>
        <w:adjustRightInd/>
        <w:spacing w:before="156" w:beforeLines="50" w:after="156" w:afterLines="50"/>
        <w:jc w:val="left"/>
        <w:rPr>
          <w:rFonts w:ascii="黑体" w:hAnsi="宋体" w:eastAsia="黑体" w:cs="黑体"/>
          <w:color w:val="000000"/>
          <w:kern w:val="0"/>
          <w:lang w:bidi="ar"/>
        </w:rPr>
      </w:pPr>
      <w:r>
        <w:rPr>
          <w:rFonts w:ascii="黑体" w:hAnsi="Times New Roman" w:eastAsia="黑体"/>
          <w:kern w:val="0"/>
        </w:rPr>
        <w:t>5.4.6</w:t>
      </w:r>
      <w:r>
        <w:rPr>
          <w:rFonts w:hint="eastAsia" w:ascii="黑体" w:hAnsi="Times New Roman" w:eastAsia="黑体"/>
          <w:kern w:val="0"/>
        </w:rPr>
        <w:t xml:space="preserve">  绿化</w:t>
      </w:r>
    </w:p>
    <w:p w14:paraId="1897BDE2">
      <w:pPr>
        <w:widowControl/>
        <w:spacing w:line="240" w:lineRule="auto"/>
        <w:jc w:val="left"/>
        <w:rPr>
          <w:rFonts w:ascii="宋体" w:hAnsi="宋体" w:cs="宋体"/>
          <w:color w:val="000000"/>
          <w:kern w:val="0"/>
          <w:lang w:bidi="ar"/>
        </w:rPr>
      </w:pPr>
      <w:r>
        <w:rPr>
          <w:rFonts w:ascii="黑体" w:eastAsia="黑体"/>
          <w:kern w:val="0"/>
        </w:rPr>
        <w:t>5</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1</w:t>
      </w:r>
      <w:r>
        <w:rPr>
          <w:rFonts w:ascii="黑体" w:hAnsi="宋体" w:eastAsia="黑体" w:cs="黑体"/>
          <w:color w:val="000000"/>
          <w:kern w:val="0"/>
          <w:lang w:bidi="ar"/>
        </w:rPr>
        <w:t xml:space="preserve"> </w:t>
      </w:r>
      <w:r>
        <w:rPr>
          <w:rFonts w:hint="eastAsia" w:ascii="黑体" w:hAnsi="宋体" w:eastAsia="黑体" w:cs="黑体"/>
          <w:color w:val="000000"/>
          <w:kern w:val="0"/>
          <w:lang w:bidi="ar"/>
        </w:rPr>
        <w:t xml:space="preserve"> </w:t>
      </w:r>
      <w:r>
        <w:rPr>
          <w:rFonts w:hint="eastAsia" w:ascii="宋体" w:hAnsi="宋体" w:cs="宋体"/>
          <w:color w:val="000000"/>
          <w:kern w:val="0"/>
          <w:lang w:bidi="ar"/>
        </w:rPr>
        <w:t>不</w:t>
      </w:r>
      <w:r>
        <w:rPr>
          <w:rFonts w:hint="eastAsia" w:ascii="宋体" w:hAnsi="宋体"/>
        </w:rPr>
        <w:t>应</w:t>
      </w:r>
      <w:r>
        <w:rPr>
          <w:rFonts w:hint="eastAsia" w:ascii="宋体" w:hAnsi="宋体" w:cs="宋体"/>
          <w:color w:val="000000"/>
          <w:kern w:val="0"/>
          <w:lang w:bidi="ar"/>
        </w:rPr>
        <w:t>随意侵占绿地，绿化区</w:t>
      </w:r>
      <w:r>
        <w:rPr>
          <w:rFonts w:hint="eastAsia" w:ascii="宋体" w:hAnsi="宋体"/>
        </w:rPr>
        <w:t>应</w:t>
      </w:r>
      <w:r>
        <w:rPr>
          <w:rFonts w:hint="eastAsia" w:ascii="宋体" w:hAnsi="宋体" w:cs="宋体"/>
          <w:color w:val="000000"/>
          <w:kern w:val="0"/>
          <w:lang w:bidi="ar"/>
        </w:rPr>
        <w:t>做好日常养护，及时栽种、补种乡土植物。</w:t>
      </w:r>
    </w:p>
    <w:p w14:paraId="09394291">
      <w:pPr>
        <w:widowControl/>
        <w:spacing w:line="240" w:lineRule="auto"/>
        <w:jc w:val="left"/>
        <w:rPr>
          <w:rFonts w:ascii="宋体" w:hAnsi="宋体" w:cs="宋体"/>
          <w:color w:val="000000"/>
          <w:kern w:val="0"/>
          <w:lang w:bidi="ar"/>
        </w:rPr>
      </w:pPr>
      <w:r>
        <w:rPr>
          <w:rFonts w:ascii="黑体" w:eastAsia="黑体"/>
          <w:kern w:val="0"/>
        </w:rPr>
        <w:t>5</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2</w:t>
      </w:r>
      <w:r>
        <w:rPr>
          <w:rFonts w:hint="eastAsia" w:ascii="宋体" w:hAnsi="宋体" w:cs="宋体"/>
          <w:color w:val="000000"/>
          <w:kern w:val="0"/>
          <w:lang w:bidi="ar"/>
        </w:rPr>
        <w:t xml:space="preserve">  露天停车场和室外活动场地宜种植有遮荫效果树木。  </w:t>
      </w:r>
    </w:p>
    <w:p w14:paraId="73C567C9">
      <w:pPr>
        <w:widowControl/>
        <w:spacing w:line="240" w:lineRule="auto"/>
        <w:jc w:val="left"/>
        <w:rPr>
          <w:rFonts w:ascii="宋体" w:hAnsi="宋体" w:cs="宋体"/>
          <w:color w:val="000000"/>
          <w:kern w:val="0"/>
          <w:lang w:bidi="ar"/>
        </w:rPr>
      </w:pPr>
      <w:r>
        <w:rPr>
          <w:rFonts w:ascii="黑体" w:eastAsia="黑体"/>
          <w:kern w:val="0"/>
        </w:rPr>
        <w:t>5</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 xml:space="preserve">3 </w:t>
      </w:r>
      <w:r>
        <w:rPr>
          <w:rFonts w:hint="eastAsia" w:ascii="宋体" w:hAnsi="宋体" w:cs="宋体"/>
          <w:color w:val="000000"/>
          <w:kern w:val="0"/>
          <w:lang w:bidi="ar"/>
        </w:rPr>
        <w:t xml:space="preserve"> 宜采用无公害病虫害防治技术，应规范杀虫剂、除草剂、化肥、农药等化学药品使用。 </w:t>
      </w:r>
    </w:p>
    <w:p w14:paraId="185E9D05">
      <w:pPr>
        <w:widowControl/>
        <w:spacing w:line="240" w:lineRule="auto"/>
        <w:jc w:val="left"/>
        <w:rPr>
          <w:rFonts w:ascii="宋体" w:hAnsi="宋体" w:cs="宋体"/>
          <w:color w:val="000000"/>
          <w:kern w:val="0"/>
          <w:lang w:bidi="ar"/>
        </w:rPr>
      </w:pPr>
      <w:r>
        <w:rPr>
          <w:rFonts w:ascii="黑体" w:eastAsia="黑体"/>
          <w:kern w:val="0"/>
        </w:rPr>
        <w:t>5</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 xml:space="preserve">4 </w:t>
      </w:r>
      <w:r>
        <w:rPr>
          <w:rFonts w:hint="eastAsia" w:ascii="宋体" w:hAnsi="宋体" w:cs="宋体"/>
          <w:color w:val="000000"/>
          <w:kern w:val="0"/>
          <w:lang w:bidi="ar"/>
        </w:rPr>
        <w:t xml:space="preserve"> 具备条件的场所宜采用屋顶绿化、建筑垂直绿化等方式增绿吸碳。</w:t>
      </w:r>
    </w:p>
    <w:p w14:paraId="5A0AE23E">
      <w:pPr>
        <w:pStyle w:val="235"/>
        <w:numPr>
          <w:ilvl w:val="0"/>
          <w:numId w:val="0"/>
        </w:numPr>
        <w:spacing w:before="156" w:after="156"/>
      </w:pPr>
      <w:r>
        <w:t>5</w:t>
      </w:r>
      <w:r>
        <w:rPr>
          <w:rFonts w:hint="eastAsia"/>
        </w:rPr>
        <w:t>.</w:t>
      </w:r>
      <w:r>
        <w:t>4.7</w:t>
      </w:r>
      <w:r>
        <w:rPr>
          <w:rFonts w:hint="eastAsia"/>
        </w:rPr>
        <w:t xml:space="preserve">  出行</w:t>
      </w:r>
    </w:p>
    <w:p w14:paraId="7FE88F18">
      <w:pPr>
        <w:widowControl/>
        <w:spacing w:line="240" w:lineRule="auto"/>
        <w:jc w:val="left"/>
      </w:pPr>
      <w:r>
        <w:rPr>
          <w:rFonts w:ascii="黑体" w:eastAsia="黑体"/>
          <w:kern w:val="0"/>
        </w:rPr>
        <w:t>5</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7.</w:t>
      </w:r>
      <w:r>
        <w:rPr>
          <w:rFonts w:hint="eastAsia" w:ascii="黑体" w:hAnsi="Times New Roman" w:eastAsia="黑体"/>
          <w:kern w:val="0"/>
        </w:rPr>
        <w:t>1</w:t>
      </w:r>
      <w:r>
        <w:rPr>
          <w:rFonts w:hint="eastAsia" w:hAnsi="Times New Roman"/>
          <w:kern w:val="0"/>
        </w:rPr>
        <w:t xml:space="preserve">  </w:t>
      </w:r>
      <w:r>
        <w:rPr>
          <w:rFonts w:hint="eastAsia" w:ascii="宋体" w:hAnsi="宋体"/>
        </w:rPr>
        <w:t>应</w:t>
      </w:r>
      <w:r>
        <w:rPr>
          <w:rFonts w:hint="eastAsia" w:hAnsi="Times New Roman"/>
          <w:kern w:val="0"/>
        </w:rPr>
        <w:t>推动绿色出行</w:t>
      </w:r>
      <w:r>
        <w:rPr>
          <w:rFonts w:hint="eastAsia" w:ascii="宋体" w:hAnsi="宋体" w:cs="宋体"/>
          <w:color w:val="000000"/>
          <w:kern w:val="0"/>
          <w:lang w:bidi="ar"/>
        </w:rPr>
        <w:t xml:space="preserve">，倡导干部职工践行“135”绿色出行方式。 </w:t>
      </w:r>
    </w:p>
    <w:p w14:paraId="4A15F2C2">
      <w:pPr>
        <w:widowControl/>
        <w:spacing w:line="240" w:lineRule="auto"/>
        <w:jc w:val="left"/>
      </w:pPr>
      <w:r>
        <w:rPr>
          <w:rFonts w:ascii="黑体" w:hAnsi="宋体" w:eastAsia="黑体" w:cs="黑体"/>
          <w:color w:val="000000"/>
          <w:kern w:val="0"/>
          <w:sz w:val="18"/>
          <w:szCs w:val="18"/>
          <w:lang w:bidi="ar"/>
        </w:rPr>
        <w:t>注：</w:t>
      </w:r>
      <w:r>
        <w:rPr>
          <w:rFonts w:hint="eastAsia" w:ascii="宋体" w:hAnsi="宋体" w:cs="宋体"/>
          <w:color w:val="000000"/>
          <w:kern w:val="0"/>
          <w:sz w:val="18"/>
          <w:szCs w:val="18"/>
          <w:lang w:bidi="ar"/>
        </w:rPr>
        <w:t xml:space="preserve">“135”绿色出行方式：即1km以内步行，3km以内骑自行车，5km以内乘坐公共交通工具。 </w:t>
      </w:r>
    </w:p>
    <w:p w14:paraId="45DCE889">
      <w:pPr>
        <w:widowControl/>
        <w:spacing w:line="240" w:lineRule="auto"/>
        <w:jc w:val="left"/>
        <w:rPr>
          <w:rFonts w:hAnsi="Times New Roman"/>
          <w:kern w:val="0"/>
        </w:rPr>
      </w:pPr>
      <w:r>
        <w:rPr>
          <w:rFonts w:ascii="黑体" w:eastAsia="黑体"/>
          <w:kern w:val="0"/>
        </w:rPr>
        <w:t>5</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7.</w:t>
      </w:r>
      <w:r>
        <w:rPr>
          <w:rFonts w:hint="eastAsia" w:ascii="黑体" w:hAnsi="宋体" w:eastAsia="黑体" w:cs="黑体"/>
          <w:color w:val="000000"/>
          <w:kern w:val="0"/>
          <w:lang w:bidi="ar"/>
        </w:rPr>
        <w:t xml:space="preserve">2  </w:t>
      </w:r>
      <w:r>
        <w:rPr>
          <w:rFonts w:hint="eastAsia" w:ascii="宋体" w:hAnsi="宋体" w:cs="宋体"/>
          <w:color w:val="000000"/>
          <w:kern w:val="0"/>
          <w:lang w:bidi="ar"/>
        </w:rPr>
        <w:t xml:space="preserve">宜开展活动鼓励上下班和公务活动出行乘坐公共交通工具，集体活动合乘用车。  </w:t>
      </w:r>
    </w:p>
    <w:p w14:paraId="75180BD0">
      <w:pPr>
        <w:pStyle w:val="235"/>
        <w:numPr>
          <w:ilvl w:val="0"/>
          <w:numId w:val="0"/>
        </w:numPr>
        <w:spacing w:before="156" w:after="156"/>
      </w:pPr>
      <w:r>
        <w:t>5.4.8</w:t>
      </w:r>
      <w:r>
        <w:rPr>
          <w:rFonts w:hint="eastAsia"/>
        </w:rPr>
        <w:t xml:space="preserve">  垃圾处理</w:t>
      </w:r>
    </w:p>
    <w:p w14:paraId="100D1BEB">
      <w:pPr>
        <w:widowControl/>
        <w:spacing w:line="240" w:lineRule="auto"/>
        <w:jc w:val="left"/>
        <w:rPr>
          <w:rFonts w:ascii="宋体" w:hAnsi="宋体"/>
        </w:rPr>
      </w:pPr>
      <w:r>
        <w:rPr>
          <w:rFonts w:ascii="黑体" w:eastAsia="黑体"/>
          <w:kern w:val="0"/>
        </w:rPr>
        <w:t>5</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1</w:t>
      </w:r>
      <w:r>
        <w:rPr>
          <w:rFonts w:hint="eastAsia" w:ascii="黑体" w:hAnsi="Times New Roman" w:eastAsia="黑体"/>
          <w:kern w:val="0"/>
        </w:rPr>
        <w:t xml:space="preserve"> </w:t>
      </w:r>
      <w:r>
        <w:rPr>
          <w:rFonts w:hint="eastAsia" w:ascii="宋体" w:hAnsi="宋体"/>
        </w:rPr>
        <w:t xml:space="preserve"> </w:t>
      </w:r>
      <w:r>
        <w:rPr>
          <w:rFonts w:hint="eastAsia" w:ascii="宋体" w:hAnsi="宋体" w:cs="宋体"/>
          <w:color w:val="000000"/>
          <w:kern w:val="0"/>
          <w:lang w:bidi="ar"/>
        </w:rPr>
        <w:t>应按照可回收物、有害垃圾、厨余垃圾和其他垃圾对生活垃圾进行分类。</w:t>
      </w:r>
    </w:p>
    <w:p w14:paraId="04E38B64">
      <w:pPr>
        <w:widowControl/>
        <w:spacing w:line="240" w:lineRule="auto"/>
        <w:jc w:val="left"/>
        <w:rPr>
          <w:rFonts w:ascii="宋体" w:hAnsi="宋体"/>
        </w:rPr>
      </w:pPr>
      <w:r>
        <w:rPr>
          <w:rFonts w:ascii="黑体" w:eastAsia="黑体"/>
          <w:kern w:val="0"/>
        </w:rPr>
        <w:t>5</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2</w:t>
      </w:r>
      <w:r>
        <w:rPr>
          <w:rFonts w:hint="eastAsia" w:ascii="宋体" w:hAnsi="宋体"/>
        </w:rPr>
        <w:t xml:space="preserve">  </w:t>
      </w:r>
      <w:r>
        <w:rPr>
          <w:rFonts w:hint="eastAsia" w:ascii="宋体" w:hAnsi="宋体" w:cs="宋体"/>
          <w:color w:val="000000"/>
          <w:kern w:val="0"/>
          <w:lang w:bidi="ar"/>
        </w:rPr>
        <w:t>应遵循因地制宜、科学合理的原则，根据单位实际情况合理布局和设置分类设施设备</w:t>
      </w:r>
      <w:r>
        <w:rPr>
          <w:rFonts w:hint="eastAsia" w:ascii="宋体" w:hAnsi="宋体"/>
        </w:rPr>
        <w:t>。</w:t>
      </w:r>
    </w:p>
    <w:p w14:paraId="37C6D718">
      <w:pPr>
        <w:widowControl/>
        <w:spacing w:line="240" w:lineRule="auto"/>
        <w:jc w:val="left"/>
      </w:pPr>
      <w:r>
        <w:rPr>
          <w:rFonts w:ascii="黑体" w:eastAsia="黑体"/>
          <w:kern w:val="0"/>
        </w:rPr>
        <w:t>5</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3</w:t>
      </w:r>
      <w:r>
        <w:rPr>
          <w:rFonts w:hint="eastAsia" w:ascii="宋体" w:hAnsi="宋体"/>
        </w:rPr>
        <w:t xml:space="preserve">  </w:t>
      </w:r>
      <w:r>
        <w:rPr>
          <w:rFonts w:hint="eastAsia" w:ascii="宋体" w:hAnsi="宋体" w:cs="宋体"/>
          <w:color w:val="000000"/>
          <w:kern w:val="0"/>
          <w:lang w:bidi="ar"/>
        </w:rPr>
        <w:t xml:space="preserve">分类收集容器应有与收集类别相匹配的生活垃圾分类标志，标志的类别构成、设计和设置应 </w:t>
      </w:r>
    </w:p>
    <w:p w14:paraId="733523C0">
      <w:pPr>
        <w:widowControl/>
        <w:spacing w:line="240" w:lineRule="auto"/>
        <w:jc w:val="left"/>
      </w:pPr>
      <w:r>
        <w:rPr>
          <w:rFonts w:hint="eastAsia" w:ascii="宋体" w:hAnsi="宋体" w:cs="宋体"/>
          <w:color w:val="000000"/>
          <w:kern w:val="0"/>
          <w:lang w:bidi="ar"/>
        </w:rPr>
        <w:t>符合GB/T 19095的规定。</w:t>
      </w:r>
    </w:p>
    <w:p w14:paraId="65D6B480">
      <w:pPr>
        <w:widowControl/>
        <w:spacing w:line="240" w:lineRule="auto"/>
        <w:jc w:val="left"/>
      </w:pPr>
      <w:r>
        <w:rPr>
          <w:rFonts w:ascii="黑体" w:eastAsia="黑体"/>
          <w:kern w:val="0"/>
        </w:rPr>
        <w:t>5</w:t>
      </w:r>
      <w:r>
        <w:rPr>
          <w:rFonts w:ascii="黑体" w:hAnsi="宋体" w:eastAsia="黑体" w:cs="黑体"/>
          <w:color w:val="000000"/>
          <w:kern w:val="0"/>
          <w:lang w:bidi="ar"/>
        </w:rPr>
        <w:t>.4.8.</w:t>
      </w:r>
      <w:r>
        <w:rPr>
          <w:rFonts w:hint="eastAsia" w:ascii="黑体" w:hAnsi="宋体" w:eastAsia="黑体" w:cs="黑体"/>
          <w:color w:val="000000"/>
          <w:kern w:val="0"/>
          <w:lang w:bidi="ar"/>
        </w:rPr>
        <w:t>4</w:t>
      </w:r>
      <w:r>
        <w:rPr>
          <w:rFonts w:ascii="黑体" w:hAnsi="宋体" w:eastAsia="黑体" w:cs="黑体"/>
          <w:color w:val="000000"/>
          <w:kern w:val="0"/>
          <w:lang w:bidi="ar"/>
        </w:rPr>
        <w:t xml:space="preserve"> </w:t>
      </w:r>
      <w:r>
        <w:rPr>
          <w:rFonts w:hint="eastAsia" w:ascii="黑体" w:hAnsi="宋体" w:eastAsia="黑体" w:cs="黑体"/>
          <w:color w:val="000000"/>
          <w:kern w:val="0"/>
          <w:lang w:bidi="ar"/>
        </w:rPr>
        <w:t xml:space="preserve"> </w:t>
      </w:r>
      <w:r>
        <w:rPr>
          <w:rFonts w:hint="eastAsia" w:ascii="宋体" w:hAnsi="宋体" w:cs="宋体"/>
          <w:color w:val="000000"/>
          <w:kern w:val="0"/>
          <w:lang w:bidi="ar"/>
        </w:rPr>
        <w:t xml:space="preserve">应将生活垃圾交由具备收运资质的企业收集运输，并与企业签订分类收运合同。 </w:t>
      </w:r>
    </w:p>
    <w:p w14:paraId="211CA588">
      <w:pPr>
        <w:widowControl/>
        <w:spacing w:line="240" w:lineRule="auto"/>
        <w:jc w:val="left"/>
      </w:pPr>
      <w:r>
        <w:rPr>
          <w:rFonts w:ascii="黑体" w:eastAsia="黑体"/>
          <w:kern w:val="0"/>
        </w:rPr>
        <w:t>5</w:t>
      </w:r>
      <w:r>
        <w:rPr>
          <w:rFonts w:ascii="黑体" w:hAnsi="宋体" w:eastAsia="黑体" w:cs="黑体"/>
          <w:color w:val="000000"/>
          <w:kern w:val="0"/>
          <w:lang w:bidi="ar"/>
        </w:rPr>
        <w:t>.4.8.</w:t>
      </w:r>
      <w:r>
        <w:rPr>
          <w:rFonts w:hint="eastAsia" w:ascii="黑体" w:hAnsi="宋体" w:eastAsia="黑体" w:cs="黑体"/>
          <w:color w:val="000000"/>
          <w:kern w:val="0"/>
          <w:lang w:bidi="ar"/>
        </w:rPr>
        <w:t xml:space="preserve">5  </w:t>
      </w:r>
      <w:r>
        <w:rPr>
          <w:rFonts w:hint="eastAsia" w:ascii="宋体" w:hAnsi="宋体" w:cs="宋体"/>
          <w:color w:val="000000"/>
          <w:kern w:val="0"/>
          <w:lang w:bidi="ar"/>
        </w:rPr>
        <w:t xml:space="preserve">厨余垃圾和其他垃圾应每天及时清运。 </w:t>
      </w:r>
    </w:p>
    <w:p w14:paraId="55B9E6A3">
      <w:pPr>
        <w:widowControl/>
        <w:spacing w:line="240" w:lineRule="auto"/>
        <w:jc w:val="left"/>
      </w:pPr>
      <w:r>
        <w:rPr>
          <w:rFonts w:ascii="黑体" w:eastAsia="黑体"/>
          <w:kern w:val="0"/>
        </w:rPr>
        <w:t>5</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 xml:space="preserve">6  </w:t>
      </w:r>
      <w:r>
        <w:rPr>
          <w:rFonts w:hint="eastAsia" w:ascii="宋体" w:hAnsi="宋体" w:cs="宋体"/>
          <w:color w:val="000000"/>
          <w:kern w:val="0"/>
          <w:lang w:bidi="ar"/>
        </w:rPr>
        <w:t xml:space="preserve">应分别建立可回收物、有害垃圾、厨余垃圾和其他垃圾的收运台账以及非涉密废弃电器电 </w:t>
      </w:r>
    </w:p>
    <w:p w14:paraId="29675070">
      <w:pPr>
        <w:widowControl/>
        <w:spacing w:line="240" w:lineRule="auto"/>
        <w:jc w:val="left"/>
      </w:pPr>
      <w:r>
        <w:rPr>
          <w:rFonts w:hint="eastAsia" w:ascii="宋体" w:hAnsi="宋体" w:cs="宋体"/>
          <w:color w:val="000000"/>
          <w:kern w:val="0"/>
          <w:lang w:bidi="ar"/>
        </w:rPr>
        <w:t>子产品收运台账，每次收运应做好记录。</w:t>
      </w:r>
    </w:p>
    <w:p w14:paraId="23A6D46C">
      <w:pPr>
        <w:pStyle w:val="235"/>
        <w:numPr>
          <w:ilvl w:val="0"/>
          <w:numId w:val="0"/>
        </w:numPr>
        <w:spacing w:before="156" w:after="156"/>
      </w:pPr>
      <w:r>
        <w:t>5</w:t>
      </w:r>
      <w:r>
        <w:rPr>
          <w:rFonts w:hint="eastAsia"/>
        </w:rPr>
        <w:t>.</w:t>
      </w:r>
      <w:r>
        <w:t>4.9</w:t>
      </w:r>
      <w:r>
        <w:rPr>
          <w:rFonts w:hint="eastAsia"/>
        </w:rPr>
        <w:t xml:space="preserve">  反食品浪费</w:t>
      </w:r>
    </w:p>
    <w:p w14:paraId="790FB73A">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w:t>
      </w:r>
      <w:r>
        <w:t>9.</w:t>
      </w:r>
      <w:r>
        <w:rPr>
          <w:rFonts w:hint="eastAsia"/>
        </w:rPr>
        <w:t xml:space="preserve">1 </w:t>
      </w:r>
      <w:r>
        <w:rPr>
          <w:rFonts w:hint="eastAsia" w:ascii="宋体" w:eastAsia="宋体"/>
        </w:rPr>
        <w:t xml:space="preserve"> 食堂反食品浪费总体应符合GB/T 42967的要求，在食品采购、储存、加工、消费以及餐厨垃圾处理等环节做到节约减损。</w:t>
      </w:r>
    </w:p>
    <w:p w14:paraId="1D513AB6">
      <w:pPr>
        <w:pStyle w:val="236"/>
        <w:numPr>
          <w:ilvl w:val="0"/>
          <w:numId w:val="0"/>
        </w:numPr>
        <w:spacing w:before="0" w:beforeLines="0" w:after="0" w:afterLines="0"/>
      </w:pPr>
      <w:r>
        <w:t>5</w:t>
      </w:r>
      <w:r>
        <w:rPr>
          <w:rFonts w:hint="eastAsia"/>
        </w:rPr>
        <w:t>.</w:t>
      </w:r>
      <w:r>
        <w:t>4</w:t>
      </w:r>
      <w:r>
        <w:rPr>
          <w:rFonts w:hint="eastAsia"/>
        </w:rPr>
        <w:t>.</w:t>
      </w:r>
      <w:r>
        <w:t>9.</w:t>
      </w:r>
      <w:r>
        <w:rPr>
          <w:rFonts w:hint="eastAsia"/>
        </w:rPr>
        <w:t xml:space="preserve">2  </w:t>
      </w:r>
      <w:r>
        <w:rPr>
          <w:rFonts w:hint="eastAsia" w:ascii="宋体" w:hAnsi="宋体" w:eastAsia="宋体"/>
        </w:rPr>
        <w:t>应开展“光盘行动”等节约粮食活动，推广“小份菜”、“按需取餐”、“按重量计费”等节约粮食措施。</w:t>
      </w:r>
    </w:p>
    <w:p w14:paraId="1D67E72F">
      <w:pPr>
        <w:pStyle w:val="236"/>
        <w:numPr>
          <w:ilvl w:val="0"/>
          <w:numId w:val="0"/>
        </w:numPr>
        <w:spacing w:before="0" w:beforeLines="0" w:after="0" w:afterLines="0"/>
        <w:rPr>
          <w:rFonts w:ascii="宋体" w:hAnsi="宋体" w:eastAsia="宋体"/>
        </w:rPr>
      </w:pPr>
      <w:r>
        <w:t>5</w:t>
      </w:r>
      <w:r>
        <w:rPr>
          <w:rFonts w:hint="eastAsia"/>
        </w:rPr>
        <w:t>.</w:t>
      </w:r>
      <w:r>
        <w:t>4</w:t>
      </w:r>
      <w:r>
        <w:rPr>
          <w:rFonts w:hint="eastAsia"/>
        </w:rPr>
        <w:t>.</w:t>
      </w:r>
      <w:r>
        <w:t>9.</w:t>
      </w:r>
      <w:r>
        <w:rPr>
          <w:rFonts w:hint="eastAsia"/>
        </w:rPr>
        <w:t xml:space="preserve">3 </w:t>
      </w:r>
      <w:r>
        <w:rPr>
          <w:rFonts w:hint="eastAsia" w:ascii="宋体" w:eastAsia="宋体"/>
        </w:rPr>
        <w:t xml:space="preserve"> 应</w:t>
      </w:r>
      <w:r>
        <w:rPr>
          <w:rFonts w:hint="eastAsia" w:ascii="宋体" w:hAnsi="宋体" w:eastAsia="宋体"/>
        </w:rPr>
        <w:t>在食堂明显位置张贴“合理取餐”、“文明就餐”等标识标语。</w:t>
      </w:r>
    </w:p>
    <w:p w14:paraId="29F9B78B">
      <w:pPr>
        <w:widowControl/>
        <w:spacing w:line="240" w:lineRule="auto"/>
        <w:jc w:val="left"/>
        <w:rPr>
          <w:rFonts w:ascii="黑体" w:hAnsi="Times New Roman" w:eastAsia="黑体"/>
          <w:kern w:val="0"/>
        </w:rPr>
      </w:pPr>
      <w:r>
        <w:rPr>
          <w:rFonts w:ascii="黑体" w:hAnsi="Times New Roman" w:eastAsia="黑体"/>
          <w:kern w:val="0"/>
        </w:rPr>
        <w:t>5.4</w:t>
      </w:r>
      <w:r>
        <w:rPr>
          <w:rFonts w:hint="eastAsia" w:ascii="黑体" w:hAnsi="Times New Roman" w:eastAsia="黑体"/>
          <w:kern w:val="0"/>
        </w:rPr>
        <w:t>.</w:t>
      </w:r>
      <w:r>
        <w:rPr>
          <w:rFonts w:ascii="黑体" w:hAnsi="Times New Roman" w:eastAsia="黑体"/>
          <w:kern w:val="0"/>
        </w:rPr>
        <w:t>9.</w:t>
      </w:r>
      <w:r>
        <w:rPr>
          <w:rFonts w:hint="eastAsia" w:ascii="黑体" w:hAnsi="Times New Roman" w:eastAsia="黑体"/>
          <w:kern w:val="0"/>
        </w:rPr>
        <w:t xml:space="preserve">4  </w:t>
      </w:r>
      <w:r>
        <w:rPr>
          <w:rFonts w:hint="eastAsia" w:ascii="宋体" w:hAnsi="宋体"/>
        </w:rPr>
        <w:t>应</w:t>
      </w:r>
      <w:r>
        <w:rPr>
          <w:rFonts w:hint="eastAsia" w:ascii="宋体" w:hAnsi="Times New Roman"/>
          <w:kern w:val="0"/>
        </w:rPr>
        <w:t>实施反食品浪费工作成效评估和通报制度</w:t>
      </w:r>
      <w:r>
        <w:rPr>
          <w:rFonts w:hint="eastAsia" w:ascii="宋体" w:hAnsi="宋体"/>
          <w:kern w:val="0"/>
        </w:rPr>
        <w:t>。</w:t>
      </w:r>
    </w:p>
    <w:p w14:paraId="7EC59393">
      <w:pPr>
        <w:widowControl/>
        <w:adjustRightInd/>
        <w:spacing w:before="156" w:beforeLines="50" w:after="156" w:afterLines="50"/>
        <w:jc w:val="left"/>
        <w:outlineLvl w:val="0"/>
        <w:rPr>
          <w:rFonts w:ascii="黑体" w:hAnsi="Times New Roman" w:eastAsia="黑体"/>
          <w:kern w:val="0"/>
        </w:rPr>
      </w:pPr>
      <w:bookmarkStart w:id="49" w:name="_Toc31544"/>
      <w:r>
        <w:rPr>
          <w:rFonts w:ascii="黑体" w:hAnsi="Times New Roman" w:eastAsia="黑体"/>
          <w:kern w:val="0"/>
        </w:rPr>
        <w:t>6</w:t>
      </w:r>
      <w:r>
        <w:rPr>
          <w:rFonts w:hint="eastAsia" w:ascii="黑体" w:hAnsi="Times New Roman" w:eastAsia="黑体"/>
          <w:kern w:val="0"/>
        </w:rPr>
        <w:t xml:space="preserve">  绿色文化</w:t>
      </w:r>
      <w:bookmarkEnd w:id="49"/>
    </w:p>
    <w:p w14:paraId="59414272">
      <w:pPr>
        <w:pStyle w:val="236"/>
        <w:numPr>
          <w:ilvl w:val="0"/>
          <w:numId w:val="0"/>
        </w:numPr>
        <w:spacing w:before="0" w:beforeLines="0" w:after="0" w:afterLines="0"/>
        <w:rPr>
          <w:rFonts w:ascii="宋体" w:hAnsi="宋体" w:eastAsia="宋体"/>
        </w:rPr>
      </w:pPr>
      <w:r>
        <w:t>6</w:t>
      </w:r>
      <w:r>
        <w:rPr>
          <w:rFonts w:hint="eastAsia"/>
        </w:rPr>
        <w:t>.1</w:t>
      </w:r>
      <w:r>
        <w:rPr>
          <w:rFonts w:hint="eastAsia" w:hAnsi="黑体" w:cs="黑体"/>
        </w:rPr>
        <w:t xml:space="preserve">  </w:t>
      </w:r>
      <w:r>
        <w:rPr>
          <w:rFonts w:hint="eastAsia" w:ascii="宋体" w:hAnsi="宋体" w:eastAsia="宋体"/>
        </w:rPr>
        <w:t>应培养干部职工的绿色观念，推动形成简约适度、绿色低碳的工作和生活方式。</w:t>
      </w:r>
    </w:p>
    <w:p w14:paraId="63224DE1">
      <w:pPr>
        <w:pStyle w:val="236"/>
        <w:numPr>
          <w:ilvl w:val="0"/>
          <w:numId w:val="0"/>
        </w:numPr>
        <w:spacing w:before="0" w:beforeLines="0" w:after="0" w:afterLines="0"/>
        <w:rPr>
          <w:rFonts w:ascii="宋体" w:hAnsi="宋体" w:eastAsia="宋体"/>
        </w:rPr>
      </w:pPr>
      <w:r>
        <w:t>6</w:t>
      </w:r>
      <w:r>
        <w:rPr>
          <w:rFonts w:hint="eastAsia"/>
        </w:rPr>
        <w:t xml:space="preserve">.2 </w:t>
      </w:r>
      <w:r>
        <w:rPr>
          <w:rFonts w:hint="eastAsia" w:hAnsi="黑体" w:cs="黑体"/>
        </w:rPr>
        <w:t xml:space="preserve"> </w:t>
      </w:r>
      <w:r>
        <w:rPr>
          <w:rFonts w:hint="eastAsia" w:ascii="宋体" w:hAnsi="宋体" w:eastAsia="宋体"/>
        </w:rPr>
        <w:t>应开展全国节能宣传周、全国低碳日、世界水日、中国水周、世界粮食日、世界地球日、六五环境日等主题宣传活动。</w:t>
      </w:r>
    </w:p>
    <w:p w14:paraId="3A1E6669">
      <w:pPr>
        <w:pStyle w:val="236"/>
        <w:numPr>
          <w:ilvl w:val="0"/>
          <w:numId w:val="0"/>
        </w:numPr>
        <w:spacing w:before="0" w:beforeLines="0" w:after="0" w:afterLines="0"/>
        <w:rPr>
          <w:rFonts w:ascii="宋体" w:hAnsi="宋体" w:eastAsia="宋体"/>
        </w:rPr>
      </w:pPr>
      <w:r>
        <w:t>6</w:t>
      </w:r>
      <w:r>
        <w:rPr>
          <w:rFonts w:hint="eastAsia"/>
        </w:rPr>
        <w:t xml:space="preserve">.3 </w:t>
      </w:r>
      <w:r>
        <w:rPr>
          <w:rFonts w:hint="eastAsia" w:hAnsi="黑体" w:cs="黑体"/>
        </w:rPr>
        <w:t xml:space="preserve"> </w:t>
      </w:r>
      <w:r>
        <w:rPr>
          <w:rFonts w:hint="eastAsia" w:ascii="宋体" w:hAnsi="宋体" w:eastAsia="宋体"/>
        </w:rPr>
        <w:t>应举办节能业务培训，节能低碳知识培训。</w:t>
      </w:r>
    </w:p>
    <w:p w14:paraId="5C4F8D98">
      <w:pPr>
        <w:pStyle w:val="236"/>
        <w:numPr>
          <w:ilvl w:val="0"/>
          <w:numId w:val="0"/>
        </w:numPr>
        <w:spacing w:before="0" w:beforeLines="0" w:after="0" w:afterLines="0"/>
        <w:rPr>
          <w:rFonts w:ascii="宋体" w:hAnsi="宋体" w:eastAsia="宋体"/>
        </w:rPr>
      </w:pPr>
      <w:r>
        <w:rPr>
          <w:rFonts w:hAnsi="黑体" w:cs="黑体"/>
        </w:rPr>
        <w:t>6</w:t>
      </w:r>
      <w:r>
        <w:rPr>
          <w:rFonts w:hint="eastAsia" w:hAnsi="黑体" w:cs="黑体"/>
        </w:rPr>
        <w:t xml:space="preserve">.4  </w:t>
      </w:r>
      <w:r>
        <w:rPr>
          <w:rFonts w:hint="eastAsia" w:ascii="宋体" w:hAnsi="宋体" w:eastAsia="宋体"/>
        </w:rPr>
        <w:t>应张贴节约用品、节约用电、节约用水等标识标语。</w:t>
      </w:r>
    </w:p>
    <w:p w14:paraId="13A5D352">
      <w:pPr>
        <w:pStyle w:val="235"/>
        <w:numPr>
          <w:ilvl w:val="0"/>
          <w:numId w:val="0"/>
        </w:numPr>
        <w:spacing w:before="312" w:beforeLines="100" w:after="312" w:afterLines="100"/>
        <w:outlineLvl w:val="0"/>
      </w:pPr>
      <w:bookmarkStart w:id="50" w:name="_Toc5817"/>
      <w:r>
        <w:rPr>
          <w:rFonts w:hAnsi="宋体" w:cs="黑体"/>
          <w:color w:val="000000"/>
          <w:lang w:bidi="ar"/>
        </w:rPr>
        <w:t>7 监督与改进</w:t>
      </w:r>
      <w:bookmarkEnd w:id="50"/>
      <w:r>
        <w:rPr>
          <w:rFonts w:hAnsi="宋体" w:cs="黑体"/>
          <w:color w:val="000000"/>
          <w:lang w:bidi="ar"/>
        </w:rPr>
        <w:t xml:space="preserve"> </w:t>
      </w:r>
    </w:p>
    <w:p w14:paraId="7813AE01">
      <w:pPr>
        <w:widowControl/>
        <w:adjustRightInd/>
        <w:spacing w:before="156" w:beforeLines="50" w:after="156" w:afterLines="50" w:line="240" w:lineRule="auto"/>
        <w:jc w:val="left"/>
      </w:pPr>
      <w:r>
        <w:rPr>
          <w:rFonts w:ascii="黑体" w:hAnsi="宋体" w:eastAsia="黑体" w:cs="黑体"/>
          <w:color w:val="000000"/>
          <w:kern w:val="0"/>
          <w:lang w:bidi="ar"/>
        </w:rPr>
        <w:t>7</w:t>
      </w:r>
      <w:r>
        <w:rPr>
          <w:rFonts w:hint="eastAsia" w:ascii="黑体" w:hAnsi="宋体" w:eastAsia="黑体" w:cs="黑体"/>
          <w:color w:val="000000"/>
          <w:kern w:val="0"/>
          <w:lang w:bidi="ar"/>
        </w:rPr>
        <w:t xml:space="preserve">.1 监督 </w:t>
      </w:r>
    </w:p>
    <w:p w14:paraId="7AAC5CE8">
      <w:pPr>
        <w:widowControl/>
        <w:spacing w:line="240" w:lineRule="auto"/>
        <w:jc w:val="left"/>
      </w:pPr>
      <w:r>
        <w:rPr>
          <w:rFonts w:ascii="黑体" w:hAnsi="宋体" w:eastAsia="黑体" w:cs="黑体"/>
          <w:color w:val="000000"/>
          <w:kern w:val="0"/>
          <w:lang w:bidi="ar"/>
        </w:rPr>
        <w:t>7</w:t>
      </w:r>
      <w:r>
        <w:rPr>
          <w:rFonts w:hint="eastAsia" w:ascii="黑体" w:hAnsi="宋体" w:eastAsia="黑体" w:cs="黑体"/>
          <w:color w:val="000000"/>
          <w:kern w:val="0"/>
          <w:lang w:bidi="ar"/>
        </w:rPr>
        <w:t xml:space="preserve">.1.1 </w:t>
      </w:r>
      <w:r>
        <w:rPr>
          <w:rFonts w:hint="eastAsia" w:ascii="宋体" w:hAnsi="宋体" w:cs="宋体"/>
          <w:color w:val="000000"/>
          <w:kern w:val="0"/>
          <w:lang w:bidi="ar"/>
        </w:rPr>
        <w:t xml:space="preserve">监督的形式包括但不限于：上级部门监督、社会监督、自我监督等。 </w:t>
      </w:r>
    </w:p>
    <w:p w14:paraId="1B59F6E7">
      <w:pPr>
        <w:widowControl/>
        <w:spacing w:line="240" w:lineRule="auto"/>
        <w:jc w:val="left"/>
      </w:pPr>
      <w:r>
        <w:rPr>
          <w:rFonts w:ascii="黑体" w:hAnsi="宋体" w:eastAsia="黑体" w:cs="黑体"/>
          <w:color w:val="000000"/>
          <w:kern w:val="0"/>
          <w:lang w:bidi="ar"/>
        </w:rPr>
        <w:t>7</w:t>
      </w:r>
      <w:r>
        <w:rPr>
          <w:rFonts w:hint="eastAsia" w:ascii="黑体" w:hAnsi="宋体" w:eastAsia="黑体" w:cs="黑体"/>
          <w:color w:val="000000"/>
          <w:kern w:val="0"/>
          <w:lang w:bidi="ar"/>
        </w:rPr>
        <w:t xml:space="preserve">.1.2 </w:t>
      </w:r>
      <w:r>
        <w:rPr>
          <w:rFonts w:hint="eastAsia" w:ascii="宋体" w:hAnsi="宋体" w:cs="宋体"/>
          <w:color w:val="000000"/>
          <w:kern w:val="0"/>
          <w:lang w:bidi="ar"/>
        </w:rPr>
        <w:t xml:space="preserve">监督内容包括但不限于： </w:t>
      </w:r>
    </w:p>
    <w:p w14:paraId="272C126E">
      <w:pPr>
        <w:widowControl/>
        <w:spacing w:line="240" w:lineRule="auto"/>
        <w:ind w:firstLine="420" w:firstLineChars="200"/>
        <w:jc w:val="left"/>
      </w:pPr>
      <w:r>
        <w:rPr>
          <w:rFonts w:hint="eastAsia" w:ascii="宋体" w:hAnsi="宋体" w:cs="宋体"/>
          <w:color w:val="000000"/>
          <w:kern w:val="0"/>
          <w:lang w:bidi="ar"/>
        </w:rPr>
        <w:t xml:space="preserve">——绿色办公规章制度的建立； </w:t>
      </w:r>
    </w:p>
    <w:p w14:paraId="0EA8A44D">
      <w:pPr>
        <w:widowControl/>
        <w:spacing w:line="240" w:lineRule="auto"/>
        <w:ind w:firstLine="420" w:firstLineChars="200"/>
        <w:jc w:val="left"/>
      </w:pPr>
      <w:r>
        <w:rPr>
          <w:rFonts w:hint="eastAsia" w:ascii="宋体" w:hAnsi="宋体" w:cs="宋体"/>
          <w:color w:val="000000"/>
          <w:kern w:val="0"/>
          <w:lang w:bidi="ar"/>
        </w:rPr>
        <w:t xml:space="preserve">——年度目标和实施方案的制定、落实； </w:t>
      </w:r>
    </w:p>
    <w:p w14:paraId="3C09F3A5">
      <w:pPr>
        <w:widowControl/>
        <w:spacing w:line="240" w:lineRule="auto"/>
        <w:ind w:firstLine="420" w:firstLineChars="200"/>
        <w:jc w:val="left"/>
      </w:pPr>
      <w:r>
        <w:rPr>
          <w:rFonts w:hint="eastAsia" w:ascii="宋体" w:hAnsi="宋体" w:cs="宋体"/>
          <w:color w:val="000000"/>
          <w:kern w:val="0"/>
          <w:lang w:bidi="ar"/>
        </w:rPr>
        <w:t xml:space="preserve">——设施设备节能、节水等运行情况； </w:t>
      </w:r>
    </w:p>
    <w:p w14:paraId="5228F996">
      <w:pPr>
        <w:widowControl/>
        <w:spacing w:line="240" w:lineRule="auto"/>
        <w:ind w:firstLine="420" w:firstLineChars="200"/>
        <w:jc w:val="left"/>
      </w:pPr>
      <w:r>
        <w:rPr>
          <w:rFonts w:hint="eastAsia" w:ascii="宋体" w:hAnsi="宋体" w:cs="宋体"/>
          <w:color w:val="000000"/>
          <w:kern w:val="0"/>
          <w:lang w:bidi="ar"/>
        </w:rPr>
        <w:t xml:space="preserve">——能源资源消耗定额的执行； </w:t>
      </w:r>
    </w:p>
    <w:p w14:paraId="5388514C">
      <w:pPr>
        <w:widowControl/>
        <w:spacing w:line="240" w:lineRule="auto"/>
        <w:ind w:firstLine="420" w:firstLineChars="200"/>
        <w:jc w:val="left"/>
      </w:pPr>
      <w:r>
        <w:rPr>
          <w:rFonts w:hint="eastAsia" w:ascii="宋体" w:hAnsi="宋体" w:cs="宋体"/>
          <w:color w:val="000000"/>
          <w:kern w:val="0"/>
          <w:lang w:bidi="ar"/>
        </w:rPr>
        <w:t xml:space="preserve">——能源审计的开展情况； </w:t>
      </w:r>
    </w:p>
    <w:p w14:paraId="20B5EBB9">
      <w:pPr>
        <w:widowControl/>
        <w:spacing w:line="240" w:lineRule="auto"/>
        <w:ind w:firstLine="420" w:firstLineChars="200"/>
        <w:jc w:val="left"/>
      </w:pPr>
      <w:r>
        <w:rPr>
          <w:rFonts w:hint="eastAsia" w:ascii="宋体" w:hAnsi="宋体" w:cs="宋体"/>
          <w:color w:val="000000"/>
          <w:kern w:val="0"/>
          <w:lang w:bidi="ar"/>
        </w:rPr>
        <w:t xml:space="preserve">——绿色办公宣传教育情况。 </w:t>
      </w:r>
    </w:p>
    <w:p w14:paraId="607DDACF">
      <w:pPr>
        <w:widowControl/>
        <w:adjustRightInd/>
        <w:spacing w:before="156" w:beforeLines="50" w:after="156" w:afterLines="50" w:line="240" w:lineRule="auto"/>
        <w:jc w:val="left"/>
      </w:pPr>
      <w:r>
        <w:rPr>
          <w:rFonts w:ascii="黑体" w:hAnsi="宋体" w:eastAsia="黑体" w:cs="黑体"/>
          <w:color w:val="000000"/>
          <w:kern w:val="0"/>
          <w:lang w:bidi="ar"/>
        </w:rPr>
        <w:t>7</w:t>
      </w:r>
      <w:r>
        <w:rPr>
          <w:rFonts w:hint="eastAsia" w:ascii="黑体" w:hAnsi="宋体" w:eastAsia="黑体" w:cs="黑体"/>
          <w:color w:val="000000"/>
          <w:kern w:val="0"/>
          <w:lang w:bidi="ar"/>
        </w:rPr>
        <w:t xml:space="preserve">.2 改进 </w:t>
      </w:r>
    </w:p>
    <w:p w14:paraId="365C32B5">
      <w:pPr>
        <w:widowControl/>
        <w:spacing w:line="240" w:lineRule="auto"/>
        <w:jc w:val="left"/>
      </w:pPr>
      <w:r>
        <w:rPr>
          <w:rFonts w:ascii="黑体" w:hAnsi="宋体" w:eastAsia="黑体" w:cs="黑体"/>
          <w:color w:val="000000"/>
          <w:kern w:val="0"/>
          <w:lang w:bidi="ar"/>
        </w:rPr>
        <w:t>7</w:t>
      </w:r>
      <w:r>
        <w:rPr>
          <w:rFonts w:hint="eastAsia" w:ascii="黑体" w:hAnsi="宋体" w:eastAsia="黑体" w:cs="黑体"/>
          <w:color w:val="000000"/>
          <w:kern w:val="0"/>
          <w:lang w:bidi="ar"/>
        </w:rPr>
        <w:t xml:space="preserve">.2.1 </w:t>
      </w:r>
      <w:r>
        <w:rPr>
          <w:rFonts w:hint="eastAsia" w:ascii="宋体" w:hAnsi="宋体" w:cs="宋体"/>
          <w:color w:val="000000"/>
          <w:kern w:val="0"/>
          <w:lang w:bidi="ar"/>
        </w:rPr>
        <w:t xml:space="preserve">建立公共机构绿色办公区持续改进机制，根据监督检查或自我总结发现的问题，认真分析原因， 制定整改措施，并跟踪落实。 </w:t>
      </w:r>
    </w:p>
    <w:p w14:paraId="457257CC">
      <w:pPr>
        <w:widowControl/>
        <w:spacing w:line="240" w:lineRule="auto"/>
        <w:jc w:val="left"/>
      </w:pPr>
      <w:r>
        <w:rPr>
          <w:rFonts w:ascii="黑体" w:hAnsi="宋体" w:eastAsia="黑体" w:cs="黑体"/>
          <w:color w:val="000000"/>
          <w:kern w:val="0"/>
          <w:lang w:bidi="ar"/>
        </w:rPr>
        <w:t>7</w:t>
      </w:r>
      <w:r>
        <w:rPr>
          <w:rFonts w:hint="eastAsia" w:ascii="黑体" w:hAnsi="宋体" w:eastAsia="黑体" w:cs="黑体"/>
          <w:color w:val="000000"/>
          <w:kern w:val="0"/>
          <w:lang w:bidi="ar"/>
        </w:rPr>
        <w:t xml:space="preserve">.2.2 </w:t>
      </w:r>
      <w:r>
        <w:rPr>
          <w:rFonts w:hint="eastAsia" w:ascii="宋体" w:hAnsi="宋体" w:cs="宋体"/>
          <w:color w:val="000000"/>
          <w:kern w:val="0"/>
          <w:lang w:bidi="ar"/>
        </w:rPr>
        <w:t>研究绿色办公区管理新模式、新方法和新技术，固化形成绿色管理制度和长效化机制，打造公共机构绿色办公新常态。</w:t>
      </w:r>
    </w:p>
    <w:p w14:paraId="7AD74F5D">
      <w:pPr>
        <w:pStyle w:val="56"/>
        <w:ind w:firstLine="420"/>
        <w:rPr>
          <w:color w:val="000000" w:themeColor="text1"/>
          <w14:textFill>
            <w14:solidFill>
              <w14:schemeClr w14:val="tx1"/>
            </w14:solidFill>
          </w14:textFill>
        </w:rPr>
      </w:pPr>
      <w:r>
        <w:rPr>
          <w:color w:val="000000" w:themeColor="text1"/>
          <w14:textFill>
            <w14:solidFill>
              <w14:schemeClr w14:val="tx1"/>
            </w14:solidFill>
          </w14:textFill>
        </w:rPr>
        <w:br w:type="page"/>
      </w:r>
    </w:p>
    <w:p w14:paraId="6B893A86">
      <w:pPr>
        <w:pStyle w:val="56"/>
        <w:ind w:firstLine="420"/>
        <w:rPr>
          <w:color w:val="000000" w:themeColor="text1"/>
          <w14:textFill>
            <w14:solidFill>
              <w14:schemeClr w14:val="tx1"/>
            </w14:solidFill>
          </w14:textFill>
        </w:rPr>
        <w:sectPr>
          <w:pgSz w:w="11906" w:h="16838"/>
          <w:pgMar w:top="1928" w:right="1134" w:bottom="1134" w:left="1134" w:header="1418" w:footer="1134" w:gutter="284"/>
          <w:pgNumType w:start="1"/>
          <w:cols w:space="425" w:num="1"/>
          <w:formProt w:val="0"/>
          <w:docGrid w:type="lines" w:linePitch="312" w:charSpace="0"/>
        </w:sectPr>
      </w:pPr>
    </w:p>
    <w:bookmarkEnd w:id="16"/>
    <w:p w14:paraId="5F0CDD93">
      <w:pPr>
        <w:pStyle w:val="237"/>
      </w:pPr>
      <w:bookmarkStart w:id="51" w:name="_Toc129872302"/>
      <w:bookmarkStart w:id="52" w:name="_Toc129872230"/>
      <w:bookmarkStart w:id="53" w:name="_Toc129076487"/>
      <w:bookmarkStart w:id="54" w:name="BKCKWX"/>
      <w:bookmarkStart w:id="55" w:name="_Toc129872256"/>
      <w:bookmarkStart w:id="56" w:name="_Toc6726"/>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51"/>
      <w:bookmarkEnd w:id="52"/>
      <w:bookmarkEnd w:id="53"/>
      <w:bookmarkEnd w:id="54"/>
      <w:bookmarkEnd w:id="55"/>
      <w:bookmarkEnd w:id="56"/>
    </w:p>
    <w:p w14:paraId="5B2F2E7F">
      <w:pPr>
        <w:pStyle w:val="231"/>
        <w:numPr>
          <w:ilvl w:val="0"/>
          <w:numId w:val="33"/>
        </w:numPr>
        <w:ind w:firstLine="0" w:firstLineChars="0"/>
      </w:pPr>
      <w:r>
        <w:rPr>
          <w:rFonts w:hint="eastAsia"/>
        </w:rPr>
        <w:t>《机关事务管理条例》 中华人民共和国国务院令第621号</w:t>
      </w:r>
    </w:p>
    <w:p w14:paraId="039A6F23">
      <w:pPr>
        <w:pStyle w:val="231"/>
        <w:numPr>
          <w:ilvl w:val="0"/>
          <w:numId w:val="33"/>
        </w:numPr>
        <w:ind w:firstLine="0" w:firstLineChars="0"/>
      </w:pPr>
      <w:r>
        <w:rPr>
          <w:rFonts w:hint="eastAsia"/>
        </w:rPr>
        <w:t>《公共机构节能条例》 中华人民共和国国务院令第531号</w:t>
      </w:r>
    </w:p>
    <w:p w14:paraId="2657FA63">
      <w:pPr>
        <w:pStyle w:val="231"/>
        <w:numPr>
          <w:ilvl w:val="0"/>
          <w:numId w:val="33"/>
        </w:numPr>
        <w:ind w:firstLine="0" w:firstLineChars="0"/>
      </w:pPr>
      <w:r>
        <w:rPr>
          <w:rFonts w:hint="eastAsia"/>
        </w:rPr>
        <w:t>《党政机关例行反对浪费条例》 中发【2013】13号</w:t>
      </w:r>
    </w:p>
    <w:p w14:paraId="082914D5">
      <w:pPr>
        <w:pStyle w:val="231"/>
        <w:numPr>
          <w:ilvl w:val="0"/>
          <w:numId w:val="33"/>
        </w:numPr>
        <w:ind w:firstLine="0" w:firstLineChars="0"/>
      </w:pPr>
      <w:r>
        <w:rPr>
          <w:rFonts w:hint="eastAsia"/>
        </w:rPr>
        <w:t>《党政机关办公用房建设标准》 发改投资【2014】2674号</w:t>
      </w:r>
    </w:p>
    <w:p w14:paraId="539466DD">
      <w:pPr>
        <w:pStyle w:val="231"/>
        <w:numPr>
          <w:ilvl w:val="0"/>
          <w:numId w:val="33"/>
        </w:numPr>
        <w:ind w:firstLine="0" w:firstLineChars="0"/>
      </w:pPr>
      <w:r>
        <w:rPr>
          <w:rFonts w:hint="eastAsia"/>
        </w:rPr>
        <w:t>《绿色生活创建行动总体方案》 发改环资【2019】1696号</w:t>
      </w:r>
    </w:p>
    <w:p w14:paraId="22B8E7A0">
      <w:pPr>
        <w:pStyle w:val="231"/>
        <w:numPr>
          <w:ilvl w:val="0"/>
          <w:numId w:val="33"/>
        </w:numPr>
        <w:ind w:firstLine="0" w:firstLineChars="0"/>
      </w:pPr>
      <w:r>
        <w:rPr>
          <w:rFonts w:hint="eastAsia"/>
        </w:rPr>
        <w:t>《关于做好公共机构生活垃圾分类近期重点工作的通知》 国管办发【2021】4号</w:t>
      </w:r>
    </w:p>
    <w:p w14:paraId="7EED1BD1">
      <w:pPr>
        <w:pStyle w:val="231"/>
        <w:numPr>
          <w:ilvl w:val="0"/>
          <w:numId w:val="33"/>
        </w:numPr>
        <w:ind w:firstLine="0" w:firstLineChars="0"/>
      </w:pPr>
      <w:r>
        <w:rPr>
          <w:rFonts w:hint="eastAsia"/>
        </w:rPr>
        <w:t>《关于印发“十四五”公共机构节约能源资源工作规划的通知》  国管节能【2021】195号</w:t>
      </w:r>
    </w:p>
    <w:p w14:paraId="7EC13378">
      <w:pPr>
        <w:pStyle w:val="231"/>
        <w:numPr>
          <w:ilvl w:val="0"/>
          <w:numId w:val="33"/>
        </w:numPr>
        <w:ind w:firstLine="0" w:firstLineChars="0"/>
      </w:pPr>
      <w:r>
        <w:rPr>
          <w:rFonts w:hint="eastAsia"/>
        </w:rPr>
        <w:t>《节约型公共机构示范单位及公共机构能效领跑者评价标准》 国管节能【2023】282号</w:t>
      </w:r>
    </w:p>
    <w:p w14:paraId="20AECCF6">
      <w:pPr>
        <w:pStyle w:val="231"/>
        <w:numPr>
          <w:ilvl w:val="0"/>
          <w:numId w:val="33"/>
        </w:numPr>
        <w:ind w:firstLine="0" w:firstLineChars="0"/>
      </w:pPr>
      <w:r>
        <w:rPr>
          <w:rFonts w:hint="eastAsia"/>
        </w:rPr>
        <w:t>《深入开展公共机构绿色低碳引领行动促进碳达峰实施方案》  国管局 国家发展改革委 财政部 生态环境部印发</w:t>
      </w:r>
    </w:p>
    <w:p w14:paraId="2ED89457">
      <w:pPr>
        <w:pStyle w:val="231"/>
        <w:numPr>
          <w:ilvl w:val="0"/>
          <w:numId w:val="33"/>
        </w:numPr>
        <w:ind w:firstLine="0" w:firstLineChars="0"/>
      </w:pPr>
      <w:r>
        <w:rPr>
          <w:rFonts w:hint="eastAsia"/>
        </w:rPr>
        <w:t>《江苏省公共机构节能管理办法》  江苏省人民政府令第58号</w:t>
      </w:r>
    </w:p>
    <w:p w14:paraId="22100E65">
      <w:pPr>
        <w:pStyle w:val="231"/>
        <w:numPr>
          <w:ilvl w:val="0"/>
          <w:numId w:val="33"/>
        </w:numPr>
        <w:ind w:firstLine="0" w:firstLineChars="0"/>
      </w:pPr>
      <w:r>
        <w:rPr>
          <w:rFonts w:hint="eastAsia"/>
        </w:rPr>
        <w:t>《江苏省公共机构节约能源资源“十四五”规划》  苏事管【2021】53号</w:t>
      </w:r>
    </w:p>
    <w:p w14:paraId="3F8537D0">
      <w:pPr>
        <w:pStyle w:val="231"/>
        <w:ind w:firstLine="0" w:firstLineChars="0"/>
      </w:pPr>
    </w:p>
    <w:p w14:paraId="169F30D6">
      <w:pPr>
        <w:pStyle w:val="238"/>
        <w:framePr w:wrap="around"/>
      </w:pPr>
      <w:r>
        <w:t>_________________________________</w:t>
      </w:r>
    </w:p>
    <w:p w14:paraId="1A7FE731">
      <w:pPr>
        <w:pStyle w:val="56"/>
        <w:ind w:firstLine="0" w:firstLineChars="0"/>
        <w:jc w:val="cente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DAC1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3C9BE">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F28D4">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500B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C534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4C303">
    <w:pPr>
      <w:pStyle w:val="61"/>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62F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8E345"/>
    <w:multiLevelType w:val="singleLevel"/>
    <w:tmpl w:val="C188E345"/>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4112"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5ZWY5NjA5ZTM4ZTZhMzMxNzZmN2Q5MWFmNjBmY2MifQ=="/>
  </w:docVars>
  <w:rsids>
    <w:rsidRoot w:val="002C3101"/>
    <w:rsid w:val="0000040A"/>
    <w:rsid w:val="00000A94"/>
    <w:rsid w:val="00001972"/>
    <w:rsid w:val="00001D9A"/>
    <w:rsid w:val="000045C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E61"/>
    <w:rsid w:val="00047F28"/>
    <w:rsid w:val="000503AA"/>
    <w:rsid w:val="000506A1"/>
    <w:rsid w:val="00051558"/>
    <w:rsid w:val="000515DD"/>
    <w:rsid w:val="0005265A"/>
    <w:rsid w:val="000539DD"/>
    <w:rsid w:val="00053BD3"/>
    <w:rsid w:val="00053EF7"/>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0"/>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84D"/>
    <w:rsid w:val="000E49EF"/>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91D"/>
    <w:rsid w:val="001642FA"/>
    <w:rsid w:val="001649EB"/>
    <w:rsid w:val="00164BAF"/>
    <w:rsid w:val="00164FA8"/>
    <w:rsid w:val="00165065"/>
    <w:rsid w:val="00165434"/>
    <w:rsid w:val="0016580B"/>
    <w:rsid w:val="00165F49"/>
    <w:rsid w:val="00166B88"/>
    <w:rsid w:val="00166CA6"/>
    <w:rsid w:val="0016770A"/>
    <w:rsid w:val="00170804"/>
    <w:rsid w:val="001708E9"/>
    <w:rsid w:val="0017340B"/>
    <w:rsid w:val="00173FB1"/>
    <w:rsid w:val="00176DFD"/>
    <w:rsid w:val="001852C9"/>
    <w:rsid w:val="00190087"/>
    <w:rsid w:val="001913C4"/>
    <w:rsid w:val="0019348F"/>
    <w:rsid w:val="0019353E"/>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38B"/>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979"/>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19D"/>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176"/>
    <w:rsid w:val="002A084B"/>
    <w:rsid w:val="002A1260"/>
    <w:rsid w:val="002A1589"/>
    <w:rsid w:val="002A1608"/>
    <w:rsid w:val="002A25DC"/>
    <w:rsid w:val="002A3AAB"/>
    <w:rsid w:val="002A4CEA"/>
    <w:rsid w:val="002A5977"/>
    <w:rsid w:val="002A5A13"/>
    <w:rsid w:val="002A757F"/>
    <w:rsid w:val="002A7F44"/>
    <w:rsid w:val="002B0C40"/>
    <w:rsid w:val="002B1966"/>
    <w:rsid w:val="002B3B94"/>
    <w:rsid w:val="002B4508"/>
    <w:rsid w:val="002B5779"/>
    <w:rsid w:val="002B7332"/>
    <w:rsid w:val="002B7F51"/>
    <w:rsid w:val="002C09E7"/>
    <w:rsid w:val="002C18D0"/>
    <w:rsid w:val="002C1E06"/>
    <w:rsid w:val="002C1E1C"/>
    <w:rsid w:val="002C3101"/>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0EF"/>
    <w:rsid w:val="003221B4"/>
    <w:rsid w:val="0032258D"/>
    <w:rsid w:val="00322E62"/>
    <w:rsid w:val="00323B15"/>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A4"/>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6DCB"/>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E6C"/>
    <w:rsid w:val="0041477A"/>
    <w:rsid w:val="004167A3"/>
    <w:rsid w:val="00432DAA"/>
    <w:rsid w:val="00434305"/>
    <w:rsid w:val="00435DF7"/>
    <w:rsid w:val="0044083F"/>
    <w:rsid w:val="00441AE7"/>
    <w:rsid w:val="00445574"/>
    <w:rsid w:val="004467FB"/>
    <w:rsid w:val="00446E7D"/>
    <w:rsid w:val="00452D6B"/>
    <w:rsid w:val="00454484"/>
    <w:rsid w:val="0045517B"/>
    <w:rsid w:val="004575A7"/>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4BB"/>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AB1"/>
    <w:rsid w:val="004E1C0A"/>
    <w:rsid w:val="004E2B06"/>
    <w:rsid w:val="004E30C5"/>
    <w:rsid w:val="004E4AA5"/>
    <w:rsid w:val="004E4AEE"/>
    <w:rsid w:val="004E5907"/>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B90"/>
    <w:rsid w:val="00523F95"/>
    <w:rsid w:val="00524D65"/>
    <w:rsid w:val="00525B16"/>
    <w:rsid w:val="005338B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580"/>
    <w:rsid w:val="00581802"/>
    <w:rsid w:val="005836A8"/>
    <w:rsid w:val="0058409C"/>
    <w:rsid w:val="00584262"/>
    <w:rsid w:val="00586630"/>
    <w:rsid w:val="00587ADD"/>
    <w:rsid w:val="00591E27"/>
    <w:rsid w:val="005955D6"/>
    <w:rsid w:val="00595A21"/>
    <w:rsid w:val="00596160"/>
    <w:rsid w:val="005966E2"/>
    <w:rsid w:val="00597007"/>
    <w:rsid w:val="005A0966"/>
    <w:rsid w:val="005A11B7"/>
    <w:rsid w:val="005A1AD2"/>
    <w:rsid w:val="005A260B"/>
    <w:rsid w:val="005A4A1B"/>
    <w:rsid w:val="005A7830"/>
    <w:rsid w:val="005A7FCE"/>
    <w:rsid w:val="005B0F3F"/>
    <w:rsid w:val="005B4903"/>
    <w:rsid w:val="005B51CE"/>
    <w:rsid w:val="005B5885"/>
    <w:rsid w:val="005B5CD7"/>
    <w:rsid w:val="005B6CF6"/>
    <w:rsid w:val="005B7422"/>
    <w:rsid w:val="005C29B8"/>
    <w:rsid w:val="005C5F21"/>
    <w:rsid w:val="005C6AB4"/>
    <w:rsid w:val="005C7156"/>
    <w:rsid w:val="005D0C75"/>
    <w:rsid w:val="005D4171"/>
    <w:rsid w:val="005D6A95"/>
    <w:rsid w:val="005D6B2C"/>
    <w:rsid w:val="005D6D9C"/>
    <w:rsid w:val="005E2335"/>
    <w:rsid w:val="005E34CA"/>
    <w:rsid w:val="005E3C18"/>
    <w:rsid w:val="005E5B9C"/>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58"/>
    <w:rsid w:val="006816A4"/>
    <w:rsid w:val="006819B8"/>
    <w:rsid w:val="00682802"/>
    <w:rsid w:val="00682D30"/>
    <w:rsid w:val="006840A6"/>
    <w:rsid w:val="006850CD"/>
    <w:rsid w:val="00685AAB"/>
    <w:rsid w:val="00695D22"/>
    <w:rsid w:val="006A07AA"/>
    <w:rsid w:val="006A25E5"/>
    <w:rsid w:val="006A2B46"/>
    <w:rsid w:val="006A336D"/>
    <w:rsid w:val="006A37B9"/>
    <w:rsid w:val="006A6728"/>
    <w:rsid w:val="006B2672"/>
    <w:rsid w:val="006B54BF"/>
    <w:rsid w:val="006B5F44"/>
    <w:rsid w:val="006B5F90"/>
    <w:rsid w:val="006B62E4"/>
    <w:rsid w:val="006C1BBA"/>
    <w:rsid w:val="006C2079"/>
    <w:rsid w:val="006C29FB"/>
    <w:rsid w:val="006C570D"/>
    <w:rsid w:val="006C5A62"/>
    <w:rsid w:val="006C5D68"/>
    <w:rsid w:val="006C6976"/>
    <w:rsid w:val="006C6DD0"/>
    <w:rsid w:val="006D04EA"/>
    <w:rsid w:val="006D0AB7"/>
    <w:rsid w:val="006D16C4"/>
    <w:rsid w:val="006D3E96"/>
    <w:rsid w:val="006D40F4"/>
    <w:rsid w:val="006D4515"/>
    <w:rsid w:val="006D4BB1"/>
    <w:rsid w:val="006D6593"/>
    <w:rsid w:val="006E23EA"/>
    <w:rsid w:val="006F03A8"/>
    <w:rsid w:val="006F2ACA"/>
    <w:rsid w:val="006F2ADC"/>
    <w:rsid w:val="006F2BFE"/>
    <w:rsid w:val="006F31E9"/>
    <w:rsid w:val="006F32E7"/>
    <w:rsid w:val="006F6284"/>
    <w:rsid w:val="007002C5"/>
    <w:rsid w:val="00704387"/>
    <w:rsid w:val="00707669"/>
    <w:rsid w:val="00711CBA"/>
    <w:rsid w:val="00711FB5"/>
    <w:rsid w:val="00712A01"/>
    <w:rsid w:val="00714F58"/>
    <w:rsid w:val="007222F5"/>
    <w:rsid w:val="00722FBF"/>
    <w:rsid w:val="00722FC2"/>
    <w:rsid w:val="00723616"/>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3DF"/>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4DE"/>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233"/>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5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BC4"/>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76E"/>
    <w:rsid w:val="009911AF"/>
    <w:rsid w:val="00991875"/>
    <w:rsid w:val="00991F92"/>
    <w:rsid w:val="009927F5"/>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272"/>
    <w:rsid w:val="009D47FA"/>
    <w:rsid w:val="009D4C5B"/>
    <w:rsid w:val="009D50D2"/>
    <w:rsid w:val="009D638C"/>
    <w:rsid w:val="009D6BCA"/>
    <w:rsid w:val="009E0F62"/>
    <w:rsid w:val="009E4A58"/>
    <w:rsid w:val="009E5A2D"/>
    <w:rsid w:val="009E5AB2"/>
    <w:rsid w:val="009E6219"/>
    <w:rsid w:val="009F03B3"/>
    <w:rsid w:val="009F6742"/>
    <w:rsid w:val="009F7DA4"/>
    <w:rsid w:val="00A0096C"/>
    <w:rsid w:val="00A01757"/>
    <w:rsid w:val="00A026D6"/>
    <w:rsid w:val="00A028C0"/>
    <w:rsid w:val="00A02BAE"/>
    <w:rsid w:val="00A06A6B"/>
    <w:rsid w:val="00A07E47"/>
    <w:rsid w:val="00A108A7"/>
    <w:rsid w:val="00A129D0"/>
    <w:rsid w:val="00A12C33"/>
    <w:rsid w:val="00A138BA"/>
    <w:rsid w:val="00A14C8E"/>
    <w:rsid w:val="00A1513E"/>
    <w:rsid w:val="00A153D9"/>
    <w:rsid w:val="00A15F09"/>
    <w:rsid w:val="00A169B6"/>
    <w:rsid w:val="00A211F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F5A"/>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B0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BAB"/>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63"/>
    <w:rsid w:val="00C22148"/>
    <w:rsid w:val="00C24C8D"/>
    <w:rsid w:val="00C25FE2"/>
    <w:rsid w:val="00C26B53"/>
    <w:rsid w:val="00C279B2"/>
    <w:rsid w:val="00C33E50"/>
    <w:rsid w:val="00C34C20"/>
    <w:rsid w:val="00C35A3E"/>
    <w:rsid w:val="00C42130"/>
    <w:rsid w:val="00C423A4"/>
    <w:rsid w:val="00C44BF5"/>
    <w:rsid w:val="00C459E0"/>
    <w:rsid w:val="00C479B5"/>
    <w:rsid w:val="00C521D6"/>
    <w:rsid w:val="00C55232"/>
    <w:rsid w:val="00C553A4"/>
    <w:rsid w:val="00C55A06"/>
    <w:rsid w:val="00C55D03"/>
    <w:rsid w:val="00C601BC"/>
    <w:rsid w:val="00C6329F"/>
    <w:rsid w:val="00C63340"/>
    <w:rsid w:val="00C643F9"/>
    <w:rsid w:val="00C64E95"/>
    <w:rsid w:val="00C65C98"/>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375"/>
    <w:rsid w:val="00CB1A42"/>
    <w:rsid w:val="00CB1B0C"/>
    <w:rsid w:val="00CB2C0B"/>
    <w:rsid w:val="00CB517D"/>
    <w:rsid w:val="00CB5DAD"/>
    <w:rsid w:val="00CC038D"/>
    <w:rsid w:val="00CC08DB"/>
    <w:rsid w:val="00CC39FF"/>
    <w:rsid w:val="00CC3C2F"/>
    <w:rsid w:val="00CC4AC8"/>
    <w:rsid w:val="00CC5233"/>
    <w:rsid w:val="00CC5DE6"/>
    <w:rsid w:val="00CC5E49"/>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B1D"/>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157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385"/>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374"/>
    <w:rsid w:val="00E56800"/>
    <w:rsid w:val="00E60C63"/>
    <w:rsid w:val="00E62FF9"/>
    <w:rsid w:val="00E635D6"/>
    <w:rsid w:val="00E636C3"/>
    <w:rsid w:val="00E639BC"/>
    <w:rsid w:val="00E664CC"/>
    <w:rsid w:val="00E70388"/>
    <w:rsid w:val="00E70F92"/>
    <w:rsid w:val="00E74C54"/>
    <w:rsid w:val="00E77A03"/>
    <w:rsid w:val="00E8074D"/>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242"/>
    <w:rsid w:val="00E969D5"/>
    <w:rsid w:val="00EA58D1"/>
    <w:rsid w:val="00EA61BC"/>
    <w:rsid w:val="00EA681A"/>
    <w:rsid w:val="00EA735B"/>
    <w:rsid w:val="00EB17DE"/>
    <w:rsid w:val="00EB1E69"/>
    <w:rsid w:val="00EB2086"/>
    <w:rsid w:val="00EB366E"/>
    <w:rsid w:val="00EB50B2"/>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1B13"/>
    <w:rsid w:val="00EF3235"/>
    <w:rsid w:val="00EF7E72"/>
    <w:rsid w:val="00F06D37"/>
    <w:rsid w:val="00F07B9D"/>
    <w:rsid w:val="00F11586"/>
    <w:rsid w:val="00F1183B"/>
    <w:rsid w:val="00F11C9F"/>
    <w:rsid w:val="00F12263"/>
    <w:rsid w:val="00F1409D"/>
    <w:rsid w:val="00F14214"/>
    <w:rsid w:val="00F157A9"/>
    <w:rsid w:val="00F15C8E"/>
    <w:rsid w:val="00F25BB6"/>
    <w:rsid w:val="00F26B7E"/>
    <w:rsid w:val="00F27A3B"/>
    <w:rsid w:val="00F3054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3A"/>
    <w:rsid w:val="00F96CAE"/>
    <w:rsid w:val="00F97C99"/>
    <w:rsid w:val="00FA37C1"/>
    <w:rsid w:val="00FA4DAC"/>
    <w:rsid w:val="00FA662D"/>
    <w:rsid w:val="00FA73B1"/>
    <w:rsid w:val="00FB0CB9"/>
    <w:rsid w:val="00FB231D"/>
    <w:rsid w:val="00FB45F1"/>
    <w:rsid w:val="00FB4A72"/>
    <w:rsid w:val="00FB54E8"/>
    <w:rsid w:val="00FB7054"/>
    <w:rsid w:val="00FC17B7"/>
    <w:rsid w:val="00FC2CB7"/>
    <w:rsid w:val="00FC4090"/>
    <w:rsid w:val="00FC55B4"/>
    <w:rsid w:val="00FC64A2"/>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2D277D"/>
    <w:rsid w:val="0CE24C36"/>
    <w:rsid w:val="102940DD"/>
    <w:rsid w:val="10C72324"/>
    <w:rsid w:val="116575D6"/>
    <w:rsid w:val="146336E4"/>
    <w:rsid w:val="1C151372"/>
    <w:rsid w:val="1FA63A06"/>
    <w:rsid w:val="22FE2514"/>
    <w:rsid w:val="25F63DCF"/>
    <w:rsid w:val="26FD367B"/>
    <w:rsid w:val="2EAA494B"/>
    <w:rsid w:val="2F8A4744"/>
    <w:rsid w:val="309767DA"/>
    <w:rsid w:val="31CD0995"/>
    <w:rsid w:val="330723DC"/>
    <w:rsid w:val="34B76327"/>
    <w:rsid w:val="35672917"/>
    <w:rsid w:val="3BD079B7"/>
    <w:rsid w:val="3CB060F4"/>
    <w:rsid w:val="41547687"/>
    <w:rsid w:val="42BF06B2"/>
    <w:rsid w:val="48454D2A"/>
    <w:rsid w:val="49566A58"/>
    <w:rsid w:val="4B711009"/>
    <w:rsid w:val="4CA568F5"/>
    <w:rsid w:val="4DCD634E"/>
    <w:rsid w:val="52084536"/>
    <w:rsid w:val="523935DD"/>
    <w:rsid w:val="527B6FC7"/>
    <w:rsid w:val="52A306DD"/>
    <w:rsid w:val="52F10F75"/>
    <w:rsid w:val="567A44F9"/>
    <w:rsid w:val="572474B6"/>
    <w:rsid w:val="578F43D7"/>
    <w:rsid w:val="60BA6AEF"/>
    <w:rsid w:val="63C16865"/>
    <w:rsid w:val="66BF0209"/>
    <w:rsid w:val="680F6E75"/>
    <w:rsid w:val="6B33493A"/>
    <w:rsid w:val="6BFA733C"/>
    <w:rsid w:val="6D0B1344"/>
    <w:rsid w:val="6F1F3C7A"/>
    <w:rsid w:val="6F6C0B00"/>
    <w:rsid w:val="70834F1F"/>
    <w:rsid w:val="70940740"/>
    <w:rsid w:val="767D0869"/>
    <w:rsid w:val="79980C44"/>
    <w:rsid w:val="7DD1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目次、标准名称标题"/>
    <w:basedOn w:val="1"/>
    <w:next w:val="231"/>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1">
    <w:name w:val="段"/>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标准书眉_偶数页"/>
    <w:basedOn w:val="233"/>
    <w:next w:val="1"/>
    <w:uiPriority w:val="0"/>
    <w:pPr>
      <w:tabs>
        <w:tab w:val="center" w:pos="4154"/>
        <w:tab w:val="right" w:pos="8306"/>
      </w:tabs>
      <w:jc w:val="left"/>
    </w:p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35">
    <w:name w:val="一级条标题"/>
    <w:next w:val="231"/>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二级条标题"/>
    <w:basedOn w:val="235"/>
    <w:next w:val="231"/>
    <w:qFormat/>
    <w:uiPriority w:val="0"/>
    <w:pPr>
      <w:numPr>
        <w:ilvl w:val="2"/>
      </w:numPr>
      <w:spacing w:before="50" w:after="50"/>
      <w:outlineLvl w:val="3"/>
    </w:pPr>
  </w:style>
  <w:style w:type="paragraph" w:customStyle="1" w:styleId="237">
    <w:name w:val="参考文献"/>
    <w:basedOn w:val="1"/>
    <w:next w:val="23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38">
    <w:name w:val="终结线"/>
    <w:basedOn w:val="1"/>
    <w:qFormat/>
    <w:uiPriority w:val="0"/>
    <w:pPr>
      <w:framePr w:hSpace="181" w:vSpace="181" w:wrap="around" w:vAnchor="text" w:hAnchor="margin" w:xAlign="center" w:y="285"/>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666F49FE7CC41BBBE19ED9ED4CCF88A"/>
        <w:style w:val=""/>
        <w:category>
          <w:name w:val="常规"/>
          <w:gallery w:val="placeholder"/>
        </w:category>
        <w:types>
          <w:type w:val="bbPlcHdr"/>
        </w:types>
        <w:behaviors>
          <w:behavior w:val="content"/>
        </w:behaviors>
        <w:description w:val=""/>
        <w:guid w:val="{E67C7EF0-615F-4B42-8667-27807FC14D7E}"/>
      </w:docPartPr>
      <w:docPartBody>
        <w:p w14:paraId="3DC42DCC">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0A3"/>
    <w:rsid w:val="0048138B"/>
    <w:rsid w:val="00495814"/>
    <w:rsid w:val="00513230"/>
    <w:rsid w:val="00542E5D"/>
    <w:rsid w:val="00582E06"/>
    <w:rsid w:val="00602CCA"/>
    <w:rsid w:val="007A271F"/>
    <w:rsid w:val="00C160A3"/>
    <w:rsid w:val="00EE2469"/>
    <w:rsid w:val="00EF7C2C"/>
    <w:rsid w:val="00FB4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666F49FE7CC41BBBE19ED9ED4CCF8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236FDBE083D46018D978619D74923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99D48EE09FE48D8AA439A337ED93D0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85AFBF-0958-4DE7-8718-46ABA7A28B6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5253</Words>
  <Characters>6325</Characters>
  <Lines>53</Lines>
  <Paragraphs>15</Paragraphs>
  <TotalTime>294</TotalTime>
  <ScaleCrop>false</ScaleCrop>
  <LinksUpToDate>false</LinksUpToDate>
  <CharactersWithSpaces>6765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2023-01-19T07:10:00Z</dcterms:created>
  <dc:creator>Clz</dc:creator>
  <dc:description>&lt;config cover="true" show_menu="true" version="1.0.0" doctype="SDKXY"&gt;_x000d_
&lt;/config&gt;</dc:description>
  <cp:lastModifiedBy>Administrator</cp:lastModifiedBy>
  <cp:lastPrinted>2024-06-27T06:46:00Z</cp:lastPrinted>
  <dcterms:modified xsi:type="dcterms:W3CDTF">2024-06-27T06:47:22Z</dcterms:modified>
  <dc:title>地方标准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DC8A8A9857994B5192E435B291066F71_13</vt:lpwstr>
  </property>
</Properties>
</file>